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line="360" w:lineRule="auto"/>
        <w:jc w:val="center"/>
        <w:rPr>
          <w:rFonts w:hint="eastAsia" w:ascii="黑体" w:hAnsi="黑体" w:eastAsia="黑体" w:cs="黑体"/>
          <w:b/>
          <w:kern w:val="0"/>
          <w:sz w:val="36"/>
          <w:szCs w:val="36"/>
        </w:rPr>
      </w:pPr>
      <w:r>
        <w:rPr>
          <w:rFonts w:hint="eastAsia" w:ascii="黑体" w:hAnsi="黑体" w:eastAsia="黑体" w:cs="黑体"/>
          <w:b/>
          <w:bCs/>
          <w:kern w:val="0"/>
          <w:sz w:val="36"/>
          <w:szCs w:val="36"/>
        </w:rPr>
        <w:t>证券交易委托代理</w:t>
      </w:r>
      <w:r>
        <w:rPr>
          <w:rFonts w:hint="eastAsia" w:ascii="黑体" w:hAnsi="黑体" w:eastAsia="黑体" w:cs="黑体"/>
          <w:b/>
          <w:kern w:val="0"/>
          <w:sz w:val="36"/>
          <w:szCs w:val="36"/>
        </w:rPr>
        <w:t>协议指引</w:t>
      </w:r>
    </w:p>
    <w:p>
      <w:pPr>
        <w:widowControl/>
        <w:spacing w:before="100" w:beforeAutospacing="1" w:after="100" w:afterAutospacing="1" w:line="360" w:lineRule="auto"/>
        <w:jc w:val="center"/>
        <w:rPr>
          <w:rFonts w:ascii="华文中宋" w:hAnsi="华文中宋" w:eastAsia="华文中宋" w:cs="黑体"/>
          <w:b/>
          <w:kern w:val="0"/>
          <w:sz w:val="32"/>
          <w:szCs w:val="36"/>
        </w:rPr>
      </w:pPr>
    </w:p>
    <w:p>
      <w:pPr>
        <w:widowControl/>
        <w:spacing w:before="100" w:beforeAutospacing="1" w:after="100" w:afterAutospacing="1" w:line="360" w:lineRule="auto"/>
        <w:jc w:val="center"/>
        <w:rPr>
          <w:b/>
          <w:sz w:val="32"/>
          <w:szCs w:val="32"/>
        </w:rPr>
      </w:pPr>
      <w:bookmarkStart w:id="7" w:name="_GoBack"/>
      <w:bookmarkEnd w:id="7"/>
      <w:r>
        <w:rPr>
          <w:rFonts w:hint="eastAsia"/>
          <w:b/>
          <w:sz w:val="32"/>
          <w:szCs w:val="32"/>
        </w:rPr>
        <w:t>目 录</w:t>
      </w:r>
    </w:p>
    <w:p>
      <w:pPr>
        <w:pStyle w:val="7"/>
        <w:rPr>
          <w:rFonts w:ascii="仿宋_GB2312" w:hAnsi="Calibri" w:eastAsia="仿宋_GB2312" w:cs="Times New Roman"/>
          <w:sz w:val="28"/>
          <w:szCs w:val="28"/>
        </w:rPr>
      </w:pPr>
      <w:r>
        <w:rPr>
          <w:rStyle w:val="10"/>
          <w:rFonts w:hint="eastAsia" w:ascii="仿宋_GB2312" w:eastAsia="仿宋_GB2312" w:cs="仿宋_GB2312"/>
          <w:sz w:val="28"/>
          <w:szCs w:val="28"/>
        </w:rPr>
        <w:fldChar w:fldCharType="begin"/>
      </w:r>
      <w:r>
        <w:rPr>
          <w:rStyle w:val="10"/>
          <w:rFonts w:hint="eastAsia" w:ascii="仿宋_GB2312" w:eastAsia="仿宋_GB2312" w:cs="仿宋_GB2312"/>
          <w:sz w:val="28"/>
          <w:szCs w:val="28"/>
        </w:rPr>
        <w:instrText xml:space="preserve"> TOC \o "1-1" \h \z \u </w:instrText>
      </w:r>
      <w:r>
        <w:rPr>
          <w:rStyle w:val="10"/>
          <w:rFonts w:hint="eastAsia" w:ascii="仿宋_GB2312" w:eastAsia="仿宋_GB2312" w:cs="仿宋_GB2312"/>
          <w:sz w:val="28"/>
          <w:szCs w:val="28"/>
        </w:rPr>
        <w:fldChar w:fldCharType="separate"/>
      </w:r>
      <w:r>
        <w:fldChar w:fldCharType="begin"/>
      </w:r>
      <w:r>
        <w:instrText xml:space="preserve"> HYPERLINK \l "_Toc357692076" </w:instrText>
      </w:r>
      <w:r>
        <w:fldChar w:fldCharType="separate"/>
      </w:r>
      <w:r>
        <w:rPr>
          <w:rStyle w:val="10"/>
          <w:rFonts w:hint="eastAsia" w:ascii="仿宋_GB2312" w:eastAsia="仿宋_GB2312" w:cs="华文中宋"/>
          <w:sz w:val="28"/>
          <w:szCs w:val="28"/>
        </w:rPr>
        <w:t>证券交易委托代理协议(范本)</w:t>
      </w:r>
      <w:r>
        <w:rPr>
          <w:rFonts w:hint="eastAsia" w:ascii="仿宋_GB2312" w:eastAsia="仿宋_GB2312"/>
          <w:sz w:val="28"/>
          <w:szCs w:val="28"/>
        </w:rPr>
        <w:tab/>
      </w:r>
      <w:r>
        <w:rPr>
          <w:rFonts w:hint="eastAsia" w:ascii="仿宋_GB2312" w:eastAsia="仿宋_GB2312"/>
          <w:sz w:val="28"/>
          <w:szCs w:val="28"/>
        </w:rPr>
        <w:fldChar w:fldCharType="begin"/>
      </w:r>
      <w:r>
        <w:rPr>
          <w:rFonts w:hint="eastAsia" w:ascii="仿宋_GB2312" w:eastAsia="仿宋_GB2312"/>
          <w:sz w:val="28"/>
          <w:szCs w:val="28"/>
        </w:rPr>
        <w:instrText xml:space="preserve"> PAGEREF _Toc357692076 \h </w:instrText>
      </w:r>
      <w:r>
        <w:rPr>
          <w:rFonts w:hint="eastAsia" w:ascii="仿宋_GB2312" w:eastAsia="仿宋_GB2312"/>
          <w:sz w:val="28"/>
          <w:szCs w:val="28"/>
        </w:rPr>
        <w:fldChar w:fldCharType="separate"/>
      </w:r>
      <w:r>
        <w:rPr>
          <w:rFonts w:ascii="仿宋_GB2312" w:eastAsia="仿宋_GB2312"/>
          <w:sz w:val="28"/>
          <w:szCs w:val="28"/>
        </w:rPr>
        <w:t>2</w:t>
      </w:r>
      <w:r>
        <w:rPr>
          <w:rFonts w:hint="eastAsia" w:ascii="仿宋_GB2312" w:eastAsia="仿宋_GB2312"/>
          <w:sz w:val="28"/>
          <w:szCs w:val="28"/>
        </w:rPr>
        <w:fldChar w:fldCharType="end"/>
      </w:r>
      <w:r>
        <w:rPr>
          <w:rFonts w:hint="eastAsia" w:ascii="仿宋_GB2312" w:eastAsia="仿宋_GB2312"/>
          <w:sz w:val="28"/>
          <w:szCs w:val="28"/>
        </w:rPr>
        <w:fldChar w:fldCharType="end"/>
      </w:r>
    </w:p>
    <w:p>
      <w:pPr>
        <w:pStyle w:val="7"/>
        <w:rPr>
          <w:rFonts w:ascii="仿宋_GB2312" w:hAnsi="Calibri" w:eastAsia="仿宋_GB2312" w:cs="Times New Roman"/>
          <w:sz w:val="28"/>
          <w:szCs w:val="28"/>
        </w:rPr>
      </w:pPr>
      <w:r>
        <w:fldChar w:fldCharType="begin"/>
      </w:r>
      <w:r>
        <w:instrText xml:space="preserve"> HYPERLINK \l "_Toc357692077" </w:instrText>
      </w:r>
      <w:r>
        <w:fldChar w:fldCharType="separate"/>
      </w:r>
      <w:r>
        <w:rPr>
          <w:rStyle w:val="10"/>
          <w:rFonts w:hint="eastAsia" w:ascii="仿宋_GB2312" w:eastAsia="仿宋_GB2312" w:cs="仿宋_GB2312"/>
          <w:sz w:val="28"/>
          <w:szCs w:val="28"/>
        </w:rPr>
        <w:t>第一章　双方声明和承诺</w:t>
      </w:r>
      <w:r>
        <w:rPr>
          <w:rFonts w:hint="eastAsia" w:ascii="仿宋_GB2312" w:eastAsia="仿宋_GB2312"/>
          <w:sz w:val="28"/>
          <w:szCs w:val="28"/>
        </w:rPr>
        <w:tab/>
      </w:r>
      <w:r>
        <w:rPr>
          <w:rFonts w:hint="eastAsia" w:ascii="仿宋_GB2312" w:eastAsia="仿宋_GB2312"/>
          <w:sz w:val="28"/>
          <w:szCs w:val="28"/>
        </w:rPr>
        <w:fldChar w:fldCharType="begin"/>
      </w:r>
      <w:r>
        <w:rPr>
          <w:rFonts w:hint="eastAsia" w:ascii="仿宋_GB2312" w:eastAsia="仿宋_GB2312"/>
          <w:sz w:val="28"/>
          <w:szCs w:val="28"/>
        </w:rPr>
        <w:instrText xml:space="preserve"> PAGEREF _Toc357692077 \h </w:instrText>
      </w:r>
      <w:r>
        <w:rPr>
          <w:rFonts w:hint="eastAsia" w:ascii="仿宋_GB2312" w:eastAsia="仿宋_GB2312"/>
          <w:sz w:val="28"/>
          <w:szCs w:val="28"/>
        </w:rPr>
        <w:fldChar w:fldCharType="separate"/>
      </w:r>
      <w:r>
        <w:rPr>
          <w:rFonts w:ascii="仿宋_GB2312" w:eastAsia="仿宋_GB2312"/>
          <w:sz w:val="28"/>
          <w:szCs w:val="28"/>
        </w:rPr>
        <w:t>2</w:t>
      </w:r>
      <w:r>
        <w:rPr>
          <w:rFonts w:hint="eastAsia" w:ascii="仿宋_GB2312" w:eastAsia="仿宋_GB2312"/>
          <w:sz w:val="28"/>
          <w:szCs w:val="28"/>
        </w:rPr>
        <w:fldChar w:fldCharType="end"/>
      </w:r>
      <w:r>
        <w:rPr>
          <w:rFonts w:hint="eastAsia" w:ascii="仿宋_GB2312" w:eastAsia="仿宋_GB2312"/>
          <w:sz w:val="28"/>
          <w:szCs w:val="28"/>
        </w:rPr>
        <w:fldChar w:fldCharType="end"/>
      </w:r>
    </w:p>
    <w:p>
      <w:pPr>
        <w:pStyle w:val="7"/>
        <w:rPr>
          <w:rFonts w:ascii="仿宋_GB2312" w:hAnsi="Calibri" w:eastAsia="仿宋_GB2312" w:cs="Times New Roman"/>
          <w:sz w:val="28"/>
          <w:szCs w:val="28"/>
        </w:rPr>
      </w:pPr>
      <w:r>
        <w:fldChar w:fldCharType="begin"/>
      </w:r>
      <w:r>
        <w:instrText xml:space="preserve"> HYPERLINK \l "_Toc357692078" </w:instrText>
      </w:r>
      <w:r>
        <w:fldChar w:fldCharType="separate"/>
      </w:r>
      <w:r>
        <w:rPr>
          <w:rStyle w:val="10"/>
          <w:rFonts w:hint="eastAsia" w:ascii="仿宋_GB2312" w:eastAsia="仿宋_GB2312" w:cs="仿宋_GB2312"/>
          <w:sz w:val="28"/>
          <w:szCs w:val="28"/>
        </w:rPr>
        <w:t>第二章　委托代理</w:t>
      </w:r>
      <w:r>
        <w:rPr>
          <w:rFonts w:hint="eastAsia" w:ascii="仿宋_GB2312" w:eastAsia="仿宋_GB2312"/>
          <w:sz w:val="28"/>
          <w:szCs w:val="28"/>
        </w:rPr>
        <w:tab/>
      </w:r>
      <w:r>
        <w:rPr>
          <w:rFonts w:hint="eastAsia" w:ascii="仿宋_GB2312" w:eastAsia="仿宋_GB2312"/>
          <w:sz w:val="28"/>
          <w:szCs w:val="28"/>
        </w:rPr>
        <w:fldChar w:fldCharType="begin"/>
      </w:r>
      <w:r>
        <w:rPr>
          <w:rFonts w:hint="eastAsia" w:ascii="仿宋_GB2312" w:eastAsia="仿宋_GB2312"/>
          <w:sz w:val="28"/>
          <w:szCs w:val="28"/>
        </w:rPr>
        <w:instrText xml:space="preserve"> PAGEREF _Toc357692078 \h </w:instrText>
      </w:r>
      <w:r>
        <w:rPr>
          <w:rFonts w:hint="eastAsia" w:ascii="仿宋_GB2312" w:eastAsia="仿宋_GB2312"/>
          <w:sz w:val="28"/>
          <w:szCs w:val="28"/>
        </w:rPr>
        <w:fldChar w:fldCharType="separate"/>
      </w:r>
      <w:r>
        <w:rPr>
          <w:rFonts w:ascii="仿宋_GB2312" w:eastAsia="仿宋_GB2312"/>
          <w:sz w:val="28"/>
          <w:szCs w:val="28"/>
        </w:rPr>
        <w:t>3</w:t>
      </w:r>
      <w:r>
        <w:rPr>
          <w:rFonts w:hint="eastAsia" w:ascii="仿宋_GB2312" w:eastAsia="仿宋_GB2312"/>
          <w:sz w:val="28"/>
          <w:szCs w:val="28"/>
        </w:rPr>
        <w:fldChar w:fldCharType="end"/>
      </w:r>
      <w:r>
        <w:rPr>
          <w:rFonts w:hint="eastAsia" w:ascii="仿宋_GB2312" w:eastAsia="仿宋_GB2312"/>
          <w:sz w:val="28"/>
          <w:szCs w:val="28"/>
        </w:rPr>
        <w:fldChar w:fldCharType="end"/>
      </w:r>
    </w:p>
    <w:p>
      <w:pPr>
        <w:pStyle w:val="7"/>
        <w:rPr>
          <w:rFonts w:ascii="仿宋_GB2312" w:hAnsi="Calibri" w:eastAsia="仿宋_GB2312" w:cs="Times New Roman"/>
          <w:sz w:val="28"/>
          <w:szCs w:val="28"/>
        </w:rPr>
      </w:pPr>
      <w:r>
        <w:fldChar w:fldCharType="begin"/>
      </w:r>
      <w:r>
        <w:instrText xml:space="preserve"> HYPERLINK \l "_Toc357692079" </w:instrText>
      </w:r>
      <w:r>
        <w:fldChar w:fldCharType="separate"/>
      </w:r>
      <w:r>
        <w:rPr>
          <w:rStyle w:val="10"/>
          <w:rFonts w:hint="eastAsia" w:ascii="仿宋_GB2312" w:eastAsia="仿宋_GB2312" w:cs="仿宋_GB2312"/>
          <w:sz w:val="28"/>
          <w:szCs w:val="28"/>
        </w:rPr>
        <w:t>第三章  双方的责任及免责条款</w:t>
      </w:r>
      <w:r>
        <w:rPr>
          <w:rFonts w:hint="eastAsia" w:ascii="仿宋_GB2312" w:eastAsia="仿宋_GB2312"/>
          <w:sz w:val="28"/>
          <w:szCs w:val="28"/>
        </w:rPr>
        <w:tab/>
      </w:r>
      <w:r>
        <w:rPr>
          <w:rFonts w:hint="eastAsia" w:ascii="仿宋_GB2312" w:eastAsia="仿宋_GB2312"/>
          <w:sz w:val="28"/>
          <w:szCs w:val="28"/>
        </w:rPr>
        <w:fldChar w:fldCharType="begin"/>
      </w:r>
      <w:r>
        <w:rPr>
          <w:rFonts w:hint="eastAsia" w:ascii="仿宋_GB2312" w:eastAsia="仿宋_GB2312"/>
          <w:sz w:val="28"/>
          <w:szCs w:val="28"/>
        </w:rPr>
        <w:instrText xml:space="preserve"> PAGEREF _Toc357692079 \h </w:instrText>
      </w:r>
      <w:r>
        <w:rPr>
          <w:rFonts w:hint="eastAsia" w:ascii="仿宋_GB2312" w:eastAsia="仿宋_GB2312"/>
          <w:sz w:val="28"/>
          <w:szCs w:val="28"/>
        </w:rPr>
        <w:fldChar w:fldCharType="separate"/>
      </w:r>
      <w:r>
        <w:rPr>
          <w:rFonts w:ascii="仿宋_GB2312" w:eastAsia="仿宋_GB2312"/>
          <w:sz w:val="28"/>
          <w:szCs w:val="28"/>
        </w:rPr>
        <w:t>7</w:t>
      </w:r>
      <w:r>
        <w:rPr>
          <w:rFonts w:hint="eastAsia" w:ascii="仿宋_GB2312" w:eastAsia="仿宋_GB2312"/>
          <w:sz w:val="28"/>
          <w:szCs w:val="28"/>
        </w:rPr>
        <w:fldChar w:fldCharType="end"/>
      </w:r>
      <w:r>
        <w:rPr>
          <w:rFonts w:hint="eastAsia" w:ascii="仿宋_GB2312" w:eastAsia="仿宋_GB2312"/>
          <w:sz w:val="28"/>
          <w:szCs w:val="28"/>
        </w:rPr>
        <w:fldChar w:fldCharType="end"/>
      </w:r>
    </w:p>
    <w:p>
      <w:pPr>
        <w:pStyle w:val="7"/>
        <w:rPr>
          <w:rFonts w:ascii="仿宋_GB2312" w:hAnsi="Calibri" w:eastAsia="仿宋_GB2312" w:cs="Times New Roman"/>
          <w:sz w:val="28"/>
          <w:szCs w:val="28"/>
        </w:rPr>
      </w:pPr>
      <w:r>
        <w:fldChar w:fldCharType="begin"/>
      </w:r>
      <w:r>
        <w:instrText xml:space="preserve"> HYPERLINK \l "_Toc357692080" </w:instrText>
      </w:r>
      <w:r>
        <w:fldChar w:fldCharType="separate"/>
      </w:r>
      <w:r>
        <w:rPr>
          <w:rStyle w:val="10"/>
          <w:rFonts w:hint="eastAsia" w:ascii="仿宋_GB2312" w:eastAsia="仿宋_GB2312" w:cs="仿宋_GB2312"/>
          <w:sz w:val="28"/>
          <w:szCs w:val="28"/>
        </w:rPr>
        <w:t>第四章　争议的解决</w:t>
      </w:r>
      <w:r>
        <w:rPr>
          <w:rFonts w:hint="eastAsia" w:ascii="仿宋_GB2312" w:eastAsia="仿宋_GB2312"/>
          <w:sz w:val="28"/>
          <w:szCs w:val="28"/>
        </w:rPr>
        <w:tab/>
      </w:r>
      <w:r>
        <w:rPr>
          <w:rFonts w:hint="eastAsia" w:ascii="仿宋_GB2312" w:eastAsia="仿宋_GB2312"/>
          <w:sz w:val="28"/>
          <w:szCs w:val="28"/>
        </w:rPr>
        <w:fldChar w:fldCharType="begin"/>
      </w:r>
      <w:r>
        <w:rPr>
          <w:rFonts w:hint="eastAsia" w:ascii="仿宋_GB2312" w:eastAsia="仿宋_GB2312"/>
          <w:sz w:val="28"/>
          <w:szCs w:val="28"/>
        </w:rPr>
        <w:instrText xml:space="preserve"> PAGEREF _Toc357692080 \h </w:instrText>
      </w:r>
      <w:r>
        <w:rPr>
          <w:rFonts w:hint="eastAsia" w:ascii="仿宋_GB2312" w:eastAsia="仿宋_GB2312"/>
          <w:sz w:val="28"/>
          <w:szCs w:val="28"/>
        </w:rPr>
        <w:fldChar w:fldCharType="separate"/>
      </w:r>
      <w:r>
        <w:rPr>
          <w:rFonts w:ascii="仿宋_GB2312" w:eastAsia="仿宋_GB2312"/>
          <w:sz w:val="28"/>
          <w:szCs w:val="28"/>
        </w:rPr>
        <w:t>8</w:t>
      </w:r>
      <w:r>
        <w:rPr>
          <w:rFonts w:hint="eastAsia" w:ascii="仿宋_GB2312" w:eastAsia="仿宋_GB2312"/>
          <w:sz w:val="28"/>
          <w:szCs w:val="28"/>
        </w:rPr>
        <w:fldChar w:fldCharType="end"/>
      </w:r>
      <w:r>
        <w:rPr>
          <w:rFonts w:hint="eastAsia" w:ascii="仿宋_GB2312" w:eastAsia="仿宋_GB2312"/>
          <w:sz w:val="28"/>
          <w:szCs w:val="28"/>
        </w:rPr>
        <w:fldChar w:fldCharType="end"/>
      </w:r>
    </w:p>
    <w:p>
      <w:pPr>
        <w:pStyle w:val="7"/>
        <w:rPr>
          <w:rFonts w:ascii="仿宋_GB2312" w:hAnsi="Calibri" w:eastAsia="仿宋_GB2312" w:cs="Times New Roman"/>
          <w:sz w:val="28"/>
          <w:szCs w:val="28"/>
        </w:rPr>
      </w:pPr>
      <w:r>
        <w:fldChar w:fldCharType="begin"/>
      </w:r>
      <w:r>
        <w:instrText xml:space="preserve"> HYPERLINK \l "_Toc357692081" </w:instrText>
      </w:r>
      <w:r>
        <w:fldChar w:fldCharType="separate"/>
      </w:r>
      <w:r>
        <w:rPr>
          <w:rStyle w:val="10"/>
          <w:rFonts w:hint="eastAsia" w:ascii="仿宋_GB2312" w:eastAsia="仿宋_GB2312" w:cs="仿宋_GB2312"/>
          <w:sz w:val="28"/>
          <w:szCs w:val="28"/>
        </w:rPr>
        <w:t>第五章　协议的生效、变更和终止</w:t>
      </w:r>
      <w:r>
        <w:rPr>
          <w:rFonts w:hint="eastAsia" w:ascii="仿宋_GB2312" w:eastAsia="仿宋_GB2312"/>
          <w:sz w:val="28"/>
          <w:szCs w:val="28"/>
        </w:rPr>
        <w:tab/>
      </w:r>
      <w:r>
        <w:rPr>
          <w:rFonts w:hint="eastAsia" w:ascii="仿宋_GB2312" w:eastAsia="仿宋_GB2312"/>
          <w:sz w:val="28"/>
          <w:szCs w:val="28"/>
        </w:rPr>
        <w:fldChar w:fldCharType="begin"/>
      </w:r>
      <w:r>
        <w:rPr>
          <w:rFonts w:hint="eastAsia" w:ascii="仿宋_GB2312" w:eastAsia="仿宋_GB2312"/>
          <w:sz w:val="28"/>
          <w:szCs w:val="28"/>
        </w:rPr>
        <w:instrText xml:space="preserve"> PAGEREF _Toc357692081 \h </w:instrText>
      </w:r>
      <w:r>
        <w:rPr>
          <w:rFonts w:hint="eastAsia" w:ascii="仿宋_GB2312" w:eastAsia="仿宋_GB2312"/>
          <w:sz w:val="28"/>
          <w:szCs w:val="28"/>
        </w:rPr>
        <w:fldChar w:fldCharType="separate"/>
      </w:r>
      <w:r>
        <w:rPr>
          <w:rFonts w:ascii="仿宋_GB2312" w:eastAsia="仿宋_GB2312"/>
          <w:sz w:val="28"/>
          <w:szCs w:val="28"/>
        </w:rPr>
        <w:t>8</w:t>
      </w:r>
      <w:r>
        <w:rPr>
          <w:rFonts w:hint="eastAsia" w:ascii="仿宋_GB2312" w:eastAsia="仿宋_GB2312"/>
          <w:sz w:val="28"/>
          <w:szCs w:val="28"/>
        </w:rPr>
        <w:fldChar w:fldCharType="end"/>
      </w:r>
      <w:r>
        <w:rPr>
          <w:rFonts w:hint="eastAsia" w:ascii="仿宋_GB2312" w:eastAsia="仿宋_GB2312"/>
          <w:sz w:val="28"/>
          <w:szCs w:val="28"/>
        </w:rPr>
        <w:fldChar w:fldCharType="end"/>
      </w:r>
    </w:p>
    <w:p>
      <w:pPr>
        <w:pStyle w:val="7"/>
        <w:rPr>
          <w:rFonts w:ascii="仿宋_GB2312" w:hAnsi="Calibri" w:eastAsia="仿宋_GB2312" w:cs="Times New Roman"/>
          <w:sz w:val="28"/>
          <w:szCs w:val="28"/>
        </w:rPr>
      </w:pPr>
      <w:r>
        <w:fldChar w:fldCharType="begin"/>
      </w:r>
      <w:r>
        <w:instrText xml:space="preserve"> HYPERLINK \l "_Toc357692082" </w:instrText>
      </w:r>
      <w:r>
        <w:fldChar w:fldCharType="separate"/>
      </w:r>
      <w:r>
        <w:rPr>
          <w:rStyle w:val="10"/>
          <w:rFonts w:hint="eastAsia" w:ascii="仿宋_GB2312" w:eastAsia="仿宋_GB2312" w:cs="仿宋_GB2312"/>
          <w:sz w:val="28"/>
          <w:szCs w:val="28"/>
        </w:rPr>
        <w:t>第六章　附 则</w:t>
      </w:r>
      <w:r>
        <w:rPr>
          <w:rFonts w:hint="eastAsia" w:ascii="仿宋_GB2312" w:eastAsia="仿宋_GB2312"/>
          <w:sz w:val="28"/>
          <w:szCs w:val="28"/>
        </w:rPr>
        <w:tab/>
      </w:r>
      <w:r>
        <w:rPr>
          <w:rFonts w:hint="eastAsia" w:ascii="仿宋_GB2312" w:eastAsia="仿宋_GB2312"/>
          <w:sz w:val="28"/>
          <w:szCs w:val="28"/>
        </w:rPr>
        <w:fldChar w:fldCharType="begin"/>
      </w:r>
      <w:r>
        <w:rPr>
          <w:rFonts w:hint="eastAsia" w:ascii="仿宋_GB2312" w:eastAsia="仿宋_GB2312"/>
          <w:sz w:val="28"/>
          <w:szCs w:val="28"/>
        </w:rPr>
        <w:instrText xml:space="preserve"> PAGEREF _Toc357692082 \h </w:instrText>
      </w:r>
      <w:r>
        <w:rPr>
          <w:rFonts w:hint="eastAsia" w:ascii="仿宋_GB2312" w:eastAsia="仿宋_GB2312"/>
          <w:sz w:val="28"/>
          <w:szCs w:val="28"/>
        </w:rPr>
        <w:fldChar w:fldCharType="separate"/>
      </w:r>
      <w:r>
        <w:rPr>
          <w:rFonts w:ascii="仿宋_GB2312" w:eastAsia="仿宋_GB2312"/>
          <w:sz w:val="28"/>
          <w:szCs w:val="28"/>
        </w:rPr>
        <w:t>10</w:t>
      </w:r>
      <w:r>
        <w:rPr>
          <w:rFonts w:hint="eastAsia" w:ascii="仿宋_GB2312" w:eastAsia="仿宋_GB2312"/>
          <w:sz w:val="28"/>
          <w:szCs w:val="28"/>
        </w:rPr>
        <w:fldChar w:fldCharType="end"/>
      </w:r>
      <w:r>
        <w:rPr>
          <w:rFonts w:hint="eastAsia" w:ascii="仿宋_GB2312" w:eastAsia="仿宋_GB2312"/>
          <w:sz w:val="28"/>
          <w:szCs w:val="28"/>
        </w:rPr>
        <w:fldChar w:fldCharType="end"/>
      </w:r>
    </w:p>
    <w:p>
      <w:pPr>
        <w:pStyle w:val="7"/>
        <w:rPr>
          <w:rStyle w:val="10"/>
          <w:rFonts w:ascii="仿宋_GB2312" w:eastAsia="仿宋_GB2312" w:cs="仿宋_GB2312"/>
          <w:color w:val="auto"/>
          <w:sz w:val="28"/>
          <w:szCs w:val="28"/>
          <w:u w:val="none"/>
        </w:rPr>
      </w:pPr>
      <w:r>
        <w:rPr>
          <w:rStyle w:val="10"/>
          <w:rFonts w:hint="eastAsia" w:ascii="仿宋_GB2312" w:eastAsia="仿宋_GB2312" w:cs="仿宋_GB2312"/>
          <w:sz w:val="28"/>
          <w:szCs w:val="28"/>
        </w:rPr>
        <w:fldChar w:fldCharType="end"/>
      </w:r>
      <w:r>
        <w:rPr>
          <w:rStyle w:val="10"/>
          <w:rFonts w:hint="eastAsia" w:ascii="仿宋_GB2312" w:eastAsia="仿宋_GB2312" w:cs="仿宋_GB2312"/>
          <w:color w:val="auto"/>
          <w:sz w:val="28"/>
          <w:szCs w:val="28"/>
          <w:u w:val="none"/>
        </w:rPr>
        <w:t>附  件：1、证券交易委托风险揭示书</w:t>
      </w:r>
    </w:p>
    <w:p>
      <w:pPr>
        <w:pStyle w:val="7"/>
        <w:rPr>
          <w:rStyle w:val="10"/>
          <w:rFonts w:ascii="仿宋_GB2312" w:eastAsia="仿宋_GB2312" w:cs="仿宋_GB2312"/>
          <w:color w:val="auto"/>
          <w:sz w:val="28"/>
          <w:szCs w:val="28"/>
          <w:u w:val="none"/>
        </w:rPr>
      </w:pPr>
      <w:r>
        <w:rPr>
          <w:rStyle w:val="10"/>
          <w:rFonts w:hint="eastAsia" w:ascii="仿宋_GB2312" w:eastAsia="仿宋_GB2312" w:cs="仿宋_GB2312"/>
          <w:color w:val="auto"/>
          <w:sz w:val="28"/>
          <w:szCs w:val="28"/>
          <w:u w:val="none"/>
        </w:rPr>
        <w:t xml:space="preserve">        2、创业板市场投资风险揭示书</w:t>
      </w:r>
    </w:p>
    <w:p/>
    <w:p/>
    <w:p/>
    <w:p/>
    <w:p>
      <w:pPr>
        <w:pStyle w:val="7"/>
        <w:jc w:val="center"/>
      </w:pPr>
      <w:r>
        <w:rPr>
          <w:rFonts w:ascii="仿宋_GB2312" w:eastAsia="仿宋_GB2312"/>
          <w:sz w:val="28"/>
          <w:szCs w:val="28"/>
        </w:rPr>
        <w:br w:type="page"/>
      </w:r>
      <w:bookmarkStart w:id="0" w:name="_Toc357692076"/>
      <w:r>
        <w:rPr>
          <w:rFonts w:hint="eastAsia"/>
        </w:rPr>
        <w:t>证券交易委托代理协议(范本)</w:t>
      </w:r>
      <w:bookmarkEnd w:id="0"/>
    </w:p>
    <w:p/>
    <w:p>
      <w:pPr>
        <w:spacing w:line="336" w:lineRule="auto"/>
        <w:rPr>
          <w:rFonts w:ascii="仿宋_GB2312" w:eastAsia="仿宋_GB2312" w:cs="仿宋_GB2312"/>
          <w:kern w:val="0"/>
          <w:sz w:val="28"/>
          <w:szCs w:val="28"/>
        </w:rPr>
      </w:pPr>
      <w:r>
        <w:rPr>
          <w:rFonts w:hint="eastAsia" w:ascii="仿宋_GB2312" w:eastAsia="仿宋_GB2312" w:cs="仿宋_GB2312"/>
          <w:kern w:val="0"/>
          <w:sz w:val="28"/>
          <w:szCs w:val="28"/>
        </w:rPr>
        <w:t>甲方（投资者）：</w:t>
      </w:r>
      <w:r>
        <w:rPr>
          <w:rFonts w:hint="eastAsia" w:ascii="仿宋_GB2312" w:eastAsia="仿宋_GB2312" w:cs="仿宋_GB2312"/>
          <w:kern w:val="0"/>
          <w:sz w:val="28"/>
          <w:szCs w:val="28"/>
          <w:u w:val="single"/>
        </w:rPr>
        <w:t xml:space="preserve">                           </w:t>
      </w:r>
    </w:p>
    <w:p>
      <w:pPr>
        <w:spacing w:line="336" w:lineRule="auto"/>
        <w:rPr>
          <w:rFonts w:ascii="仿宋_GB2312" w:eastAsia="仿宋_GB2312" w:cs="仿宋_GB2312"/>
          <w:kern w:val="0"/>
          <w:sz w:val="28"/>
          <w:szCs w:val="28"/>
          <w:u w:val="single"/>
        </w:rPr>
      </w:pPr>
      <w:r>
        <w:rPr>
          <w:rFonts w:hint="eastAsia" w:ascii="仿宋_GB2312" w:eastAsia="仿宋_GB2312" w:cs="仿宋_GB2312"/>
          <w:kern w:val="0"/>
          <w:sz w:val="28"/>
          <w:szCs w:val="28"/>
        </w:rPr>
        <w:t>乙方（证券公司分支机构）：</w:t>
      </w:r>
      <w:r>
        <w:rPr>
          <w:rFonts w:ascii="仿宋_GB2312" w:eastAsia="仿宋_GB2312" w:cs="仿宋_GB2312"/>
          <w:kern w:val="0"/>
          <w:sz w:val="28"/>
          <w:szCs w:val="28"/>
        </w:rPr>
        <w:t xml:space="preserve"> </w:t>
      </w:r>
      <w:r>
        <w:rPr>
          <w:rFonts w:ascii="仿宋_GB2312" w:eastAsia="仿宋_GB2312" w:cs="仿宋_GB2312"/>
          <w:kern w:val="0"/>
          <w:sz w:val="28"/>
          <w:szCs w:val="28"/>
          <w:u w:val="single"/>
        </w:rPr>
        <w:t xml:space="preserve">                           </w:t>
      </w:r>
    </w:p>
    <w:p>
      <w:pPr>
        <w:spacing w:line="336" w:lineRule="auto"/>
        <w:ind w:firstLine="280" w:firstLineChars="100"/>
        <w:rPr>
          <w:rFonts w:ascii="仿宋_GB2312" w:eastAsia="仿宋_GB2312" w:cs="仿宋_GB2312"/>
          <w:kern w:val="0"/>
          <w:sz w:val="28"/>
          <w:szCs w:val="28"/>
        </w:rPr>
      </w:pPr>
    </w:p>
    <w:p>
      <w:pPr>
        <w:spacing w:line="336" w:lineRule="auto"/>
        <w:ind w:firstLine="560" w:firstLineChars="200"/>
        <w:rPr>
          <w:rFonts w:ascii="仿宋_GB2312" w:eastAsia="仿宋_GB2312" w:cs="仿宋_GB2312"/>
          <w:kern w:val="0"/>
          <w:sz w:val="28"/>
          <w:szCs w:val="28"/>
        </w:rPr>
      </w:pPr>
      <w:r>
        <w:rPr>
          <w:rFonts w:hint="eastAsia" w:ascii="仿宋_GB2312" w:eastAsia="仿宋_GB2312" w:cs="仿宋_GB2312"/>
          <w:kern w:val="0"/>
          <w:sz w:val="28"/>
          <w:szCs w:val="28"/>
        </w:rPr>
        <w:t>依据《中华人民共和国证券法》、《中华人民共和国合同法》、《</w:t>
      </w:r>
      <w:r>
        <w:rPr>
          <w:rFonts w:hint="eastAsia" w:ascii="仿宋_GB2312" w:eastAsia="仿宋_GB2312" w:cs="Arial"/>
          <w:kern w:val="0"/>
          <w:sz w:val="28"/>
          <w:szCs w:val="28"/>
        </w:rPr>
        <w:t>中华人民共和国电子签名法</w:t>
      </w:r>
      <w:r>
        <w:rPr>
          <w:rFonts w:hint="eastAsia" w:ascii="仿宋_GB2312" w:eastAsia="仿宋_GB2312" w:cs="仿宋_GB2312"/>
          <w:kern w:val="0"/>
          <w:sz w:val="28"/>
          <w:szCs w:val="28"/>
        </w:rPr>
        <w:t>》和其他有关法律、法规、规章、自律规则、证券登记结算机构业务规则以及证券交易所交易规则等规定，甲乙双方就甲方委托乙方代理证券（包括证券衍生品）交易及其他相关事宜达成如下协议，供双方共同遵守。</w:t>
      </w:r>
    </w:p>
    <w:p>
      <w:pPr>
        <w:pStyle w:val="2"/>
        <w:jc w:val="center"/>
        <w:rPr>
          <w:rFonts w:ascii="仿宋_GB2312" w:eastAsia="仿宋_GB2312"/>
          <w:bCs w:val="0"/>
          <w:kern w:val="0"/>
          <w:sz w:val="28"/>
          <w:szCs w:val="28"/>
        </w:rPr>
      </w:pPr>
      <w:bookmarkStart w:id="1" w:name="_Toc357692077"/>
      <w:r>
        <w:rPr>
          <w:rFonts w:hint="eastAsia" w:ascii="仿宋_GB2312" w:eastAsia="仿宋_GB2312" w:cs="仿宋_GB2312"/>
          <w:bCs w:val="0"/>
          <w:kern w:val="0"/>
          <w:sz w:val="28"/>
          <w:szCs w:val="28"/>
        </w:rPr>
        <w:t>第一章　双方声明和承诺</w:t>
      </w:r>
      <w:bookmarkEnd w:id="1"/>
    </w:p>
    <w:p>
      <w:pPr>
        <w:spacing w:line="336" w:lineRule="auto"/>
        <w:ind w:firstLine="562" w:firstLineChars="200"/>
        <w:rPr>
          <w:rFonts w:ascii="仿宋_GB2312" w:eastAsia="仿宋_GB2312" w:cs="仿宋_GB2312"/>
          <w:kern w:val="0"/>
          <w:sz w:val="28"/>
          <w:szCs w:val="28"/>
        </w:rPr>
      </w:pPr>
      <w:r>
        <w:rPr>
          <w:rFonts w:hint="eastAsia" w:ascii="仿宋_GB2312" w:eastAsia="仿宋_GB2312" w:cs="仿宋_GB2312"/>
          <w:b/>
          <w:bCs/>
          <w:kern w:val="0"/>
          <w:sz w:val="28"/>
          <w:szCs w:val="28"/>
        </w:rPr>
        <w:t>第一条</w:t>
      </w:r>
      <w:r>
        <w:rPr>
          <w:rFonts w:hint="eastAsia" w:ascii="仿宋_GB2312" w:eastAsia="仿宋_GB2312" w:cs="仿宋_GB2312"/>
          <w:kern w:val="0"/>
          <w:sz w:val="28"/>
          <w:szCs w:val="28"/>
        </w:rPr>
        <w:t xml:space="preserve">  甲方向乙方作如下声明和承诺：</w:t>
      </w:r>
    </w:p>
    <w:p>
      <w:pPr>
        <w:spacing w:line="360" w:lineRule="auto"/>
        <w:ind w:firstLine="560" w:firstLineChars="200"/>
        <w:jc w:val="left"/>
        <w:rPr>
          <w:rFonts w:ascii="仿宋_GB2312" w:eastAsia="仿宋_GB2312" w:cs="_GB2312"/>
          <w:b/>
          <w:bCs/>
          <w:kern w:val="0"/>
          <w:sz w:val="28"/>
          <w:szCs w:val="28"/>
        </w:rPr>
      </w:pPr>
      <w:r>
        <w:rPr>
          <w:rFonts w:ascii="仿宋_GB2312" w:eastAsia="仿宋_GB2312" w:cs="仿宋_GB2312"/>
          <w:kern w:val="0"/>
          <w:sz w:val="28"/>
          <w:szCs w:val="28"/>
        </w:rPr>
        <w:t>1</w:t>
      </w:r>
      <w:r>
        <w:rPr>
          <w:rFonts w:hint="eastAsia" w:ascii="仿宋_GB2312" w:eastAsia="仿宋_GB2312" w:cs="仿宋_GB2312"/>
          <w:kern w:val="0"/>
          <w:sz w:val="28"/>
          <w:szCs w:val="28"/>
        </w:rPr>
        <w:t>.甲方具有</w:t>
      </w:r>
      <w:r>
        <w:rPr>
          <w:rFonts w:hint="eastAsia" w:ascii="仿宋_GB2312" w:eastAsia="仿宋_GB2312" w:cs="Arial"/>
          <w:kern w:val="0"/>
          <w:sz w:val="28"/>
          <w:szCs w:val="28"/>
        </w:rPr>
        <w:t>中国法律所要求的</w:t>
      </w:r>
      <w:r>
        <w:rPr>
          <w:rFonts w:hint="eastAsia" w:ascii="仿宋_GB2312" w:eastAsia="仿宋_GB2312" w:cs="仿宋_GB2312"/>
          <w:kern w:val="0"/>
          <w:sz w:val="28"/>
          <w:szCs w:val="28"/>
        </w:rPr>
        <w:t>进行证券市场投资活动（以下称为“证券投资”）的主体资格，</w:t>
      </w:r>
      <w:r>
        <w:rPr>
          <w:rFonts w:hint="eastAsia" w:ascii="仿宋_GB2312" w:eastAsia="仿宋_GB2312" w:cs="Arial"/>
          <w:kern w:val="0"/>
          <w:sz w:val="28"/>
          <w:szCs w:val="28"/>
        </w:rPr>
        <w:t>不存在中国法律、法规、规章、自律规则等禁止或限制进行证券投资活动的情形, 并保证其用于证券投资活动的资金来源合法；</w:t>
      </w:r>
    </w:p>
    <w:p>
      <w:pPr>
        <w:spacing w:line="360" w:lineRule="auto"/>
        <w:ind w:firstLine="560" w:firstLineChars="200"/>
        <w:jc w:val="left"/>
        <w:rPr>
          <w:rFonts w:ascii="仿宋_GB2312" w:eastAsia="仿宋_GB2312" w:cs="_GB2312"/>
          <w:b/>
          <w:bCs/>
          <w:kern w:val="0"/>
          <w:sz w:val="28"/>
          <w:szCs w:val="28"/>
        </w:rPr>
      </w:pPr>
      <w:r>
        <w:rPr>
          <w:rFonts w:hint="eastAsia" w:ascii="仿宋_GB2312" w:eastAsia="仿宋_GB2312" w:cs="仿宋_GB2312"/>
          <w:kern w:val="0"/>
          <w:sz w:val="28"/>
          <w:szCs w:val="28"/>
        </w:rPr>
        <w:t>2.甲方已阅读并充分理解乙方向其提供的《证券交易委托风险揭示书》，清楚认识并愿意承担证券市场投资风险；甲方已详细阅读本协议所有条款，并准确理解其含义，特别是其中有关乙方的免责条款；</w:t>
      </w:r>
    </w:p>
    <w:p>
      <w:pPr>
        <w:spacing w:line="336" w:lineRule="auto"/>
        <w:ind w:firstLine="560" w:firstLineChars="200"/>
        <w:rPr>
          <w:rFonts w:ascii="仿宋_GB2312" w:eastAsia="仿宋_GB2312" w:cs="仿宋_GB2312"/>
          <w:sz w:val="28"/>
          <w:szCs w:val="28"/>
        </w:rPr>
      </w:pPr>
      <w:r>
        <w:rPr>
          <w:rFonts w:hint="eastAsia" w:ascii="仿宋_GB2312" w:eastAsia="仿宋_GB2312" w:cs="仿宋_GB2312"/>
          <w:kern w:val="0"/>
          <w:sz w:val="28"/>
          <w:szCs w:val="28"/>
        </w:rPr>
        <w:t>3.甲方承诺遵守证券市场有关法律、法规、规章、</w:t>
      </w:r>
      <w:r>
        <w:rPr>
          <w:rFonts w:hint="eastAsia" w:ascii="仿宋_GB2312" w:eastAsia="仿宋_GB2312" w:cs="Arial"/>
          <w:kern w:val="0"/>
          <w:sz w:val="28"/>
          <w:szCs w:val="28"/>
        </w:rPr>
        <w:t>自律规则</w:t>
      </w:r>
      <w:r>
        <w:rPr>
          <w:rFonts w:hint="eastAsia" w:ascii="仿宋_GB2312" w:eastAsia="仿宋_GB2312" w:cs="仿宋_GB2312"/>
          <w:kern w:val="0"/>
          <w:sz w:val="28"/>
          <w:szCs w:val="28"/>
        </w:rPr>
        <w:t>、证券登记结算机构业务规则及证券交易所交易规则等规定,</w:t>
      </w:r>
      <w:r>
        <w:rPr>
          <w:rFonts w:hint="eastAsia" w:ascii="仿宋_GB2312" w:eastAsia="仿宋_GB2312" w:cs="仿宋_GB2312"/>
          <w:sz w:val="28"/>
          <w:szCs w:val="28"/>
        </w:rPr>
        <w:t>并承诺按照乙方的相关业务流程办理业务。</w:t>
      </w:r>
    </w:p>
    <w:p>
      <w:pPr>
        <w:spacing w:line="336" w:lineRule="auto"/>
        <w:ind w:firstLine="562" w:firstLineChars="200"/>
        <w:rPr>
          <w:rFonts w:ascii="仿宋_GB2312" w:eastAsia="仿宋_GB2312" w:cs="仿宋_GB2312"/>
          <w:kern w:val="0"/>
          <w:sz w:val="28"/>
          <w:szCs w:val="28"/>
        </w:rPr>
      </w:pPr>
      <w:r>
        <w:rPr>
          <w:rFonts w:hint="eastAsia" w:ascii="仿宋_GB2312" w:eastAsia="仿宋_GB2312" w:cs="仿宋_GB2312"/>
          <w:b/>
          <w:bCs/>
          <w:kern w:val="0"/>
          <w:sz w:val="28"/>
          <w:szCs w:val="28"/>
        </w:rPr>
        <w:t>第二条</w:t>
      </w:r>
      <w:r>
        <w:rPr>
          <w:rFonts w:hint="eastAsia" w:ascii="仿宋_GB2312" w:eastAsia="仿宋_GB2312" w:cs="仿宋_GB2312"/>
          <w:kern w:val="0"/>
          <w:sz w:val="28"/>
          <w:szCs w:val="28"/>
        </w:rPr>
        <w:t xml:space="preserve">  乙方向甲方作如下声明和承诺：</w:t>
      </w:r>
    </w:p>
    <w:p>
      <w:pPr>
        <w:spacing w:line="336" w:lineRule="auto"/>
        <w:ind w:firstLine="560" w:firstLineChars="200"/>
        <w:rPr>
          <w:rFonts w:ascii="仿宋_GB2312" w:eastAsia="仿宋_GB2312" w:cs="仿宋_GB2312"/>
          <w:kern w:val="0"/>
          <w:sz w:val="28"/>
          <w:szCs w:val="28"/>
        </w:rPr>
      </w:pPr>
      <w:r>
        <w:rPr>
          <w:rFonts w:ascii="仿宋_GB2312" w:eastAsia="仿宋_GB2312" w:cs="仿宋_GB2312"/>
          <w:kern w:val="0"/>
          <w:sz w:val="28"/>
          <w:szCs w:val="28"/>
        </w:rPr>
        <w:t>1</w:t>
      </w:r>
      <w:r>
        <w:rPr>
          <w:rFonts w:hint="eastAsia" w:ascii="仿宋_GB2312" w:eastAsia="仿宋_GB2312" w:cs="仿宋_GB2312"/>
          <w:kern w:val="0"/>
          <w:sz w:val="28"/>
          <w:szCs w:val="28"/>
        </w:rPr>
        <w:t>.乙方是依照中国法律设立且有效存续的证券经营机构，具有相应的证券经纪业务资格，已按相关规定实施客户交易结算资金第三方存管；</w:t>
      </w:r>
    </w:p>
    <w:p>
      <w:pPr>
        <w:spacing w:line="336" w:lineRule="auto"/>
        <w:ind w:firstLine="560" w:firstLineChars="200"/>
        <w:rPr>
          <w:rFonts w:ascii="仿宋_GB2312" w:eastAsia="仿宋_GB2312" w:cs="Times New Roman"/>
          <w:kern w:val="0"/>
          <w:sz w:val="28"/>
          <w:szCs w:val="28"/>
        </w:rPr>
      </w:pPr>
      <w:r>
        <w:rPr>
          <w:rFonts w:ascii="仿宋_GB2312" w:eastAsia="仿宋_GB2312" w:cs="仿宋_GB2312"/>
          <w:kern w:val="0"/>
          <w:sz w:val="28"/>
          <w:szCs w:val="28"/>
        </w:rPr>
        <w:t>2</w:t>
      </w:r>
      <w:r>
        <w:rPr>
          <w:rFonts w:hint="eastAsia" w:ascii="仿宋_GB2312" w:eastAsia="仿宋_GB2312" w:cs="仿宋_GB2312"/>
          <w:kern w:val="0"/>
          <w:sz w:val="28"/>
          <w:szCs w:val="28"/>
        </w:rPr>
        <w:t>.乙方具有开展证券经纪业务的必要条件，能够依照本协议约定为甲方的证券交易提供相应的服务;</w:t>
      </w:r>
    </w:p>
    <w:p>
      <w:pPr>
        <w:spacing w:line="336" w:lineRule="auto"/>
        <w:ind w:firstLine="560" w:firstLineChars="200"/>
        <w:rPr>
          <w:rFonts w:ascii="仿宋_GB2312" w:eastAsia="仿宋_GB2312" w:cs="仿宋_GB2312"/>
          <w:kern w:val="0"/>
          <w:sz w:val="28"/>
          <w:szCs w:val="28"/>
        </w:rPr>
      </w:pPr>
      <w:r>
        <w:rPr>
          <w:rFonts w:ascii="仿宋_GB2312" w:eastAsia="仿宋_GB2312" w:cs="仿宋_GB2312"/>
          <w:kern w:val="0"/>
          <w:sz w:val="28"/>
          <w:szCs w:val="28"/>
        </w:rPr>
        <w:t>3</w:t>
      </w:r>
      <w:r>
        <w:rPr>
          <w:rFonts w:hint="eastAsia" w:ascii="仿宋_GB2312" w:eastAsia="仿宋_GB2312" w:cs="仿宋_GB2312"/>
          <w:kern w:val="0"/>
          <w:sz w:val="28"/>
          <w:szCs w:val="28"/>
        </w:rPr>
        <w:t>.乙方承诺遵守有关法律、法规、规章、</w:t>
      </w:r>
      <w:r>
        <w:rPr>
          <w:rFonts w:hint="eastAsia" w:ascii="仿宋_GB2312" w:eastAsia="仿宋_GB2312" w:cs="Arial"/>
          <w:kern w:val="0"/>
          <w:sz w:val="28"/>
          <w:szCs w:val="28"/>
        </w:rPr>
        <w:t>自律规则</w:t>
      </w:r>
      <w:r>
        <w:rPr>
          <w:rFonts w:hint="eastAsia" w:ascii="仿宋_GB2312" w:eastAsia="仿宋_GB2312" w:cs="仿宋_GB2312"/>
          <w:kern w:val="0"/>
          <w:sz w:val="28"/>
          <w:szCs w:val="28"/>
        </w:rPr>
        <w:t>、证券登记结算机构业务规则以及证券交易所交易规则等规定，不接受甲方的全权交易委托，不对甲方的投资收益或亏损进行任何形式的保证，不编造或传播虚假信息误导投资者，不诱使甲方进行不必要的证券交易；</w:t>
      </w:r>
    </w:p>
    <w:p>
      <w:pPr>
        <w:spacing w:line="336" w:lineRule="auto"/>
        <w:ind w:firstLine="560" w:firstLineChars="200"/>
        <w:rPr>
          <w:rFonts w:ascii="仿宋_GB2312" w:eastAsia="仿宋_GB2312"/>
          <w:sz w:val="28"/>
          <w:szCs w:val="28"/>
        </w:rPr>
      </w:pPr>
      <w:r>
        <w:rPr>
          <w:rFonts w:hint="eastAsia" w:ascii="仿宋_GB2312" w:eastAsia="仿宋_GB2312"/>
          <w:sz w:val="28"/>
          <w:szCs w:val="28"/>
        </w:rPr>
        <w:t>4.乙方承诺将按照甲方发出的合法有效的委托，向证券交易所或证券登记结算机构发送委托指令；</w:t>
      </w:r>
    </w:p>
    <w:p>
      <w:pPr>
        <w:spacing w:line="336" w:lineRule="auto"/>
        <w:ind w:firstLine="560" w:firstLineChars="200"/>
        <w:rPr>
          <w:rFonts w:ascii="仿宋_GB2312" w:eastAsia="仿宋_GB2312" w:cs="Times New Roman"/>
          <w:kern w:val="0"/>
          <w:sz w:val="28"/>
          <w:szCs w:val="28"/>
        </w:rPr>
      </w:pPr>
      <w:r>
        <w:rPr>
          <w:rFonts w:hint="eastAsia" w:ascii="仿宋_GB2312" w:eastAsia="仿宋_GB2312" w:cs="仿宋_GB2312"/>
          <w:kern w:val="0"/>
          <w:sz w:val="28"/>
          <w:szCs w:val="28"/>
        </w:rPr>
        <w:t>5.乙方承诺将遵守本协议，按本协议为甲方提供证券交易委托代理服务。</w:t>
      </w:r>
    </w:p>
    <w:p>
      <w:pPr>
        <w:pStyle w:val="2"/>
        <w:jc w:val="center"/>
        <w:rPr>
          <w:rFonts w:ascii="仿宋_GB2312" w:eastAsia="仿宋_GB2312" w:cs="仿宋_GB2312"/>
          <w:bCs w:val="0"/>
          <w:kern w:val="0"/>
          <w:sz w:val="28"/>
          <w:szCs w:val="28"/>
        </w:rPr>
      </w:pPr>
      <w:bookmarkStart w:id="2" w:name="_Toc357692078"/>
      <w:r>
        <w:rPr>
          <w:rFonts w:hint="eastAsia" w:ascii="仿宋_GB2312" w:eastAsia="仿宋_GB2312" w:cs="仿宋_GB2312"/>
          <w:bCs w:val="0"/>
          <w:kern w:val="0"/>
          <w:sz w:val="28"/>
          <w:szCs w:val="28"/>
        </w:rPr>
        <w:t>第二章　委托代理</w:t>
      </w:r>
      <w:bookmarkEnd w:id="2"/>
    </w:p>
    <w:p>
      <w:pPr>
        <w:spacing w:line="336" w:lineRule="auto"/>
        <w:ind w:firstLine="562" w:firstLineChars="200"/>
        <w:rPr>
          <w:rFonts w:ascii="仿宋_GB2312" w:eastAsia="仿宋_GB2312" w:cs="仿宋_GB2312"/>
          <w:kern w:val="0"/>
          <w:sz w:val="28"/>
          <w:szCs w:val="28"/>
        </w:rPr>
      </w:pPr>
      <w:r>
        <w:rPr>
          <w:rFonts w:hint="eastAsia" w:ascii="仿宋_GB2312" w:eastAsia="仿宋_GB2312" w:cs="仿宋_GB2312"/>
          <w:b/>
          <w:bCs/>
          <w:kern w:val="0"/>
          <w:sz w:val="28"/>
          <w:szCs w:val="28"/>
        </w:rPr>
        <w:t>第三条</w:t>
      </w:r>
      <w:r>
        <w:rPr>
          <w:rFonts w:hint="eastAsia" w:ascii="仿宋_GB2312" w:eastAsia="仿宋_GB2312" w:cs="仿宋_GB2312"/>
          <w:kern w:val="0"/>
          <w:sz w:val="28"/>
          <w:szCs w:val="28"/>
        </w:rPr>
        <w:t xml:space="preserve">  双方同意，乙方接受甲方委托为其代理提供以下服务： </w:t>
      </w:r>
    </w:p>
    <w:p>
      <w:pPr>
        <w:spacing w:line="336" w:lineRule="auto"/>
        <w:ind w:firstLine="560" w:firstLineChars="200"/>
        <w:rPr>
          <w:rFonts w:ascii="仿宋_GB2312" w:eastAsia="仿宋_GB2312" w:cs="Times New Roman"/>
          <w:kern w:val="0"/>
          <w:sz w:val="28"/>
          <w:szCs w:val="28"/>
        </w:rPr>
      </w:pPr>
      <w:r>
        <w:rPr>
          <w:rFonts w:ascii="仿宋_GB2312" w:eastAsia="仿宋_GB2312" w:cs="仿宋_GB2312"/>
          <w:kern w:val="0"/>
          <w:sz w:val="28"/>
          <w:szCs w:val="28"/>
        </w:rPr>
        <w:t>1</w:t>
      </w:r>
      <w:r>
        <w:rPr>
          <w:rFonts w:hint="eastAsia" w:ascii="仿宋_GB2312" w:eastAsia="仿宋_GB2312" w:cs="仿宋_GB2312"/>
          <w:kern w:val="0"/>
          <w:sz w:val="28"/>
          <w:szCs w:val="28"/>
        </w:rPr>
        <w:t>.接受并执行甲方依照本协议约定的方式下达的合法有效的委托指令；</w:t>
      </w:r>
    </w:p>
    <w:p>
      <w:pPr>
        <w:spacing w:line="336" w:lineRule="auto"/>
        <w:ind w:left="420" w:leftChars="200" w:firstLine="140" w:firstLineChars="50"/>
        <w:rPr>
          <w:rFonts w:ascii="仿宋_GB2312" w:eastAsia="仿宋_GB2312" w:cs="Times New Roman"/>
          <w:kern w:val="0"/>
          <w:sz w:val="28"/>
          <w:szCs w:val="28"/>
        </w:rPr>
      </w:pPr>
      <w:r>
        <w:rPr>
          <w:rFonts w:ascii="仿宋_GB2312" w:eastAsia="仿宋_GB2312" w:cs="仿宋_GB2312"/>
          <w:kern w:val="0"/>
          <w:sz w:val="28"/>
          <w:szCs w:val="28"/>
        </w:rPr>
        <w:t>2</w:t>
      </w:r>
      <w:r>
        <w:rPr>
          <w:rFonts w:hint="eastAsia" w:ascii="仿宋_GB2312" w:eastAsia="仿宋_GB2312" w:cs="仿宋_GB2312"/>
          <w:kern w:val="0"/>
          <w:sz w:val="28"/>
          <w:szCs w:val="28"/>
        </w:rPr>
        <w:t>.代理甲方进行资金、证券的清算、交收；</w:t>
      </w:r>
    </w:p>
    <w:p>
      <w:pPr>
        <w:spacing w:line="336" w:lineRule="auto"/>
        <w:ind w:left="420" w:leftChars="200" w:firstLine="140" w:firstLineChars="50"/>
        <w:rPr>
          <w:rFonts w:ascii="仿宋_GB2312" w:eastAsia="仿宋_GB2312" w:cs="Times New Roman"/>
          <w:kern w:val="0"/>
          <w:sz w:val="28"/>
          <w:szCs w:val="28"/>
        </w:rPr>
      </w:pPr>
      <w:r>
        <w:rPr>
          <w:rFonts w:ascii="仿宋_GB2312" w:eastAsia="仿宋_GB2312" w:cs="仿宋_GB2312"/>
          <w:kern w:val="0"/>
          <w:sz w:val="28"/>
          <w:szCs w:val="28"/>
        </w:rPr>
        <w:t>3</w:t>
      </w:r>
      <w:r>
        <w:rPr>
          <w:rFonts w:hint="eastAsia" w:ascii="仿宋_GB2312" w:eastAsia="仿宋_GB2312" w:cs="仿宋_GB2312"/>
          <w:kern w:val="0"/>
          <w:sz w:val="28"/>
          <w:szCs w:val="28"/>
        </w:rPr>
        <w:t>.代理保管甲方买入或存入的有价证券；</w:t>
      </w:r>
    </w:p>
    <w:p>
      <w:pPr>
        <w:spacing w:line="336" w:lineRule="auto"/>
        <w:ind w:left="420" w:leftChars="200" w:firstLine="140" w:firstLineChars="50"/>
        <w:rPr>
          <w:rFonts w:ascii="仿宋_GB2312" w:eastAsia="仿宋_GB2312" w:cs="仿宋_GB2312"/>
          <w:kern w:val="0"/>
          <w:sz w:val="28"/>
          <w:szCs w:val="28"/>
        </w:rPr>
      </w:pPr>
      <w:r>
        <w:rPr>
          <w:rFonts w:ascii="仿宋_GB2312" w:eastAsia="仿宋_GB2312" w:cs="仿宋_GB2312"/>
          <w:kern w:val="0"/>
          <w:sz w:val="28"/>
          <w:szCs w:val="28"/>
        </w:rPr>
        <w:t>4</w:t>
      </w:r>
      <w:r>
        <w:rPr>
          <w:rFonts w:hint="eastAsia" w:ascii="仿宋_GB2312" w:eastAsia="仿宋_GB2312" w:cs="仿宋_GB2312"/>
          <w:kern w:val="0"/>
          <w:sz w:val="28"/>
          <w:szCs w:val="28"/>
        </w:rPr>
        <w:t>.代理甲方领取红利股息及其他利益分配；</w:t>
      </w:r>
    </w:p>
    <w:p>
      <w:pPr>
        <w:spacing w:line="336" w:lineRule="auto"/>
        <w:ind w:firstLine="560" w:firstLineChars="200"/>
        <w:rPr>
          <w:rFonts w:ascii="仿宋_GB2312" w:eastAsia="仿宋_GB2312" w:cs="Times New Roman"/>
          <w:kern w:val="0"/>
          <w:sz w:val="28"/>
          <w:szCs w:val="28"/>
        </w:rPr>
      </w:pPr>
      <w:r>
        <w:rPr>
          <w:rFonts w:ascii="仿宋_GB2312" w:eastAsia="仿宋_GB2312" w:cs="仿宋_GB2312"/>
          <w:kern w:val="0"/>
          <w:sz w:val="28"/>
          <w:szCs w:val="28"/>
        </w:rPr>
        <w:t>5</w:t>
      </w:r>
      <w:r>
        <w:rPr>
          <w:rFonts w:hint="eastAsia" w:ascii="仿宋_GB2312" w:eastAsia="仿宋_GB2312" w:cs="仿宋_GB2312"/>
          <w:kern w:val="0"/>
          <w:sz w:val="28"/>
          <w:szCs w:val="28"/>
        </w:rPr>
        <w:t>.接受甲方对其委托、成交及账户内的资产及变化情况的查询，并应甲方的要求提供相应的清单；</w:t>
      </w:r>
    </w:p>
    <w:p>
      <w:pPr>
        <w:spacing w:line="336" w:lineRule="auto"/>
        <w:ind w:left="561" w:leftChars="267"/>
        <w:rPr>
          <w:rFonts w:ascii="仿宋_GB2312" w:eastAsia="仿宋_GB2312" w:cs="Times New Roman"/>
          <w:kern w:val="0"/>
          <w:sz w:val="28"/>
          <w:szCs w:val="28"/>
        </w:rPr>
      </w:pPr>
      <w:r>
        <w:rPr>
          <w:rFonts w:ascii="仿宋_GB2312" w:eastAsia="仿宋_GB2312" w:cs="仿宋_GB2312"/>
          <w:kern w:val="0"/>
          <w:sz w:val="28"/>
          <w:szCs w:val="28"/>
        </w:rPr>
        <w:t>6</w:t>
      </w:r>
      <w:r>
        <w:rPr>
          <w:rFonts w:hint="eastAsia" w:ascii="仿宋_GB2312" w:eastAsia="仿宋_GB2312" w:cs="仿宋_GB2312"/>
          <w:kern w:val="0"/>
          <w:sz w:val="28"/>
          <w:szCs w:val="28"/>
        </w:rPr>
        <w:t>.双方依法约定的其他委托事项；</w:t>
      </w:r>
    </w:p>
    <w:p>
      <w:pPr>
        <w:spacing w:line="336" w:lineRule="auto"/>
        <w:ind w:firstLine="560" w:firstLineChars="200"/>
        <w:rPr>
          <w:rFonts w:ascii="仿宋_GB2312" w:eastAsia="仿宋_GB2312" w:cs="仿宋_GB2312"/>
          <w:b/>
          <w:bCs/>
          <w:kern w:val="0"/>
          <w:sz w:val="28"/>
          <w:szCs w:val="28"/>
        </w:rPr>
      </w:pPr>
      <w:r>
        <w:rPr>
          <w:rFonts w:ascii="仿宋_GB2312" w:eastAsia="仿宋_GB2312" w:cs="仿宋_GB2312"/>
          <w:kern w:val="0"/>
          <w:sz w:val="28"/>
          <w:szCs w:val="28"/>
        </w:rPr>
        <w:t>7</w:t>
      </w:r>
      <w:r>
        <w:rPr>
          <w:rFonts w:hint="eastAsia" w:ascii="仿宋_GB2312" w:eastAsia="仿宋_GB2312" w:cs="仿宋_GB2312"/>
          <w:kern w:val="0"/>
          <w:sz w:val="28"/>
          <w:szCs w:val="28"/>
        </w:rPr>
        <w:t>.法律、法规、规章、</w:t>
      </w:r>
      <w:r>
        <w:rPr>
          <w:rFonts w:hint="eastAsia" w:ascii="仿宋_GB2312" w:eastAsia="仿宋_GB2312" w:cs="Arial"/>
          <w:kern w:val="0"/>
          <w:sz w:val="28"/>
          <w:szCs w:val="28"/>
        </w:rPr>
        <w:t>自律规则</w:t>
      </w:r>
      <w:r>
        <w:rPr>
          <w:rFonts w:hint="eastAsia" w:ascii="仿宋_GB2312" w:eastAsia="仿宋_GB2312" w:cs="仿宋_GB2312"/>
          <w:kern w:val="0"/>
          <w:sz w:val="28"/>
          <w:szCs w:val="28"/>
        </w:rPr>
        <w:t>规定的、乙方可以代甲方进行的其他活动。</w:t>
      </w:r>
    </w:p>
    <w:p>
      <w:pPr>
        <w:spacing w:line="336" w:lineRule="auto"/>
        <w:ind w:firstLine="562" w:firstLineChars="200"/>
        <w:rPr>
          <w:rFonts w:ascii="仿宋_GB2312" w:eastAsia="仿宋_GB2312" w:cs="仿宋_GB2312"/>
          <w:sz w:val="28"/>
          <w:szCs w:val="28"/>
        </w:rPr>
      </w:pPr>
      <w:r>
        <w:rPr>
          <w:rFonts w:hint="eastAsia" w:ascii="仿宋_GB2312" w:eastAsia="仿宋_GB2312" w:cs="仿宋_GB2312"/>
          <w:b/>
          <w:bCs/>
          <w:kern w:val="0"/>
          <w:sz w:val="28"/>
          <w:szCs w:val="28"/>
        </w:rPr>
        <w:t>第四条</w:t>
      </w:r>
      <w:r>
        <w:rPr>
          <w:rFonts w:hint="eastAsia" w:ascii="仿宋_GB2312" w:eastAsia="仿宋_GB2312" w:cs="仿宋_GB2312"/>
          <w:kern w:val="0"/>
          <w:sz w:val="28"/>
          <w:szCs w:val="28"/>
        </w:rPr>
        <w:t xml:space="preserve">  甲方在证券投资前，应先依照法律法规、相关业务规则在乙方开立账户用于甲方的证券买卖交易、清算交收和计付利息等。</w:t>
      </w:r>
      <w:r>
        <w:rPr>
          <w:rFonts w:hint="eastAsia" w:ascii="仿宋_GB2312" w:hAnsi="仿宋_GB2312" w:eastAsia="仿宋_GB2312" w:cs="仿宋_GB2312"/>
          <w:sz w:val="28"/>
          <w:szCs w:val="28"/>
        </w:rPr>
        <w:t>乙方代理证券登记结算机构开立证券账户，</w:t>
      </w:r>
      <w:r>
        <w:rPr>
          <w:rFonts w:hint="eastAsia" w:ascii="仿宋_GB2312" w:eastAsia="仿宋_GB2312" w:cs="仿宋_GB2312"/>
          <w:sz w:val="28"/>
          <w:szCs w:val="28"/>
        </w:rPr>
        <w:t>应遵循证券</w:t>
      </w:r>
      <w:r>
        <w:rPr>
          <w:rFonts w:hint="eastAsia" w:ascii="仿宋_GB2312" w:hAnsi="仿宋_GB2312" w:eastAsia="仿宋_GB2312" w:cs="仿宋_GB2312"/>
          <w:sz w:val="28"/>
          <w:szCs w:val="28"/>
        </w:rPr>
        <w:t>登记结算机构</w:t>
      </w:r>
      <w:r>
        <w:rPr>
          <w:rFonts w:hint="eastAsia" w:ascii="仿宋_GB2312" w:eastAsia="仿宋_GB2312" w:cs="仿宋_GB2312"/>
          <w:sz w:val="28"/>
          <w:szCs w:val="28"/>
        </w:rPr>
        <w:t>的有关规定。</w:t>
      </w:r>
    </w:p>
    <w:p>
      <w:pPr>
        <w:spacing w:line="336" w:lineRule="auto"/>
        <w:ind w:firstLine="562" w:firstLineChars="200"/>
        <w:rPr>
          <w:rFonts w:ascii="仿宋_GB2312" w:eastAsia="仿宋_GB2312" w:cs="仿宋_GB2312"/>
          <w:kern w:val="0"/>
          <w:sz w:val="28"/>
          <w:szCs w:val="28"/>
        </w:rPr>
      </w:pPr>
      <w:r>
        <w:rPr>
          <w:rFonts w:hint="eastAsia" w:ascii="仿宋_GB2312" w:eastAsia="仿宋_GB2312" w:cs="仿宋_GB2312"/>
          <w:b/>
          <w:bCs/>
          <w:kern w:val="0"/>
          <w:sz w:val="28"/>
          <w:szCs w:val="28"/>
        </w:rPr>
        <w:t>第五条</w:t>
      </w:r>
      <w:r>
        <w:rPr>
          <w:rFonts w:hint="eastAsia" w:ascii="仿宋_GB2312" w:eastAsia="仿宋_GB2312" w:cs="仿宋_GB2312"/>
          <w:kern w:val="0"/>
          <w:sz w:val="28"/>
          <w:szCs w:val="28"/>
        </w:rPr>
        <w:t xml:space="preserve">  </w:t>
      </w:r>
      <w:r>
        <w:rPr>
          <w:rFonts w:hint="eastAsia" w:ascii="仿宋_GB2312" w:eastAsia="仿宋_GB2312" w:cs="Arial"/>
          <w:bCs/>
          <w:kern w:val="0"/>
          <w:sz w:val="28"/>
          <w:szCs w:val="28"/>
        </w:rPr>
        <w:t>甲方向乙方下达委托指令的方式由双方约定。</w:t>
      </w:r>
      <w:r>
        <w:rPr>
          <w:rFonts w:hint="eastAsia" w:ascii="仿宋_GB2312" w:eastAsia="仿宋_GB2312" w:cs="仿宋_GB2312"/>
          <w:kern w:val="0"/>
          <w:sz w:val="28"/>
          <w:szCs w:val="28"/>
        </w:rPr>
        <w:t>甲方向乙方下达委托指令的方式包括柜台委托、自助委托以及乙方认可的其他合法委托方式，自助委托包括网上委托、电话委托、热键委托等，具体委托方式以实际开通为准。</w:t>
      </w:r>
    </w:p>
    <w:p>
      <w:pPr>
        <w:spacing w:line="360" w:lineRule="auto"/>
        <w:ind w:firstLine="562" w:firstLineChars="200"/>
        <w:rPr>
          <w:rFonts w:ascii="仿宋_GB2312" w:eastAsia="仿宋_GB2312" w:cs="Arial"/>
          <w:kern w:val="0"/>
          <w:sz w:val="28"/>
          <w:szCs w:val="28"/>
        </w:rPr>
      </w:pPr>
      <w:r>
        <w:rPr>
          <w:rFonts w:hint="eastAsia" w:ascii="仿宋_GB2312" w:eastAsia="仿宋_GB2312" w:cs="_GB2312"/>
          <w:b/>
          <w:kern w:val="0"/>
          <w:sz w:val="28"/>
          <w:szCs w:val="28"/>
        </w:rPr>
        <w:t>第六条</w:t>
      </w:r>
      <w:r>
        <w:rPr>
          <w:rFonts w:hint="eastAsia" w:ascii="仿宋_GB2312" w:eastAsia="仿宋_GB2312" w:cs="_GB2312"/>
          <w:kern w:val="0"/>
          <w:sz w:val="28"/>
          <w:szCs w:val="28"/>
        </w:rPr>
        <w:t xml:space="preserve">  </w:t>
      </w:r>
      <w:r>
        <w:rPr>
          <w:rFonts w:hint="eastAsia" w:ascii="仿宋_GB2312" w:eastAsia="仿宋_GB2312"/>
          <w:bCs/>
          <w:sz w:val="28"/>
          <w:szCs w:val="28"/>
        </w:rPr>
        <w:t>甲方进行网上委托时，只能使用乙方直接提供给甲方的软件，或甲方依照乙方指示从乙方指定站点下载的软件。甲方使用其他途径获得的软件进行网上委托所产生的后果、风险和损失由甲方自行承担。</w:t>
      </w:r>
    </w:p>
    <w:p>
      <w:pPr>
        <w:spacing w:line="360" w:lineRule="auto"/>
        <w:ind w:firstLine="560" w:firstLineChars="200"/>
        <w:rPr>
          <w:rFonts w:ascii="仿宋_GB2312" w:eastAsia="仿宋_GB2312" w:cs="Arial"/>
          <w:kern w:val="0"/>
          <w:sz w:val="28"/>
          <w:szCs w:val="28"/>
        </w:rPr>
      </w:pPr>
      <w:r>
        <w:rPr>
          <w:rFonts w:hint="eastAsia" w:ascii="仿宋_GB2312" w:eastAsia="仿宋_GB2312"/>
          <w:bCs/>
          <w:sz w:val="28"/>
          <w:szCs w:val="28"/>
        </w:rPr>
        <w:t>网上委托是指甲方通过互联网或移动通讯网络向乙方网上委托系统下达委托指令、获取成交结果的服务方式</w:t>
      </w:r>
      <w:r>
        <w:rPr>
          <w:rFonts w:hint="eastAsia" w:ascii="仿宋_GB2312" w:eastAsia="仿宋_GB2312" w:cs="Arial"/>
          <w:kern w:val="0"/>
          <w:sz w:val="28"/>
          <w:szCs w:val="28"/>
        </w:rPr>
        <w:t>。网上委托的上网终端包括电子计算机、手机等通过互联网</w:t>
      </w:r>
      <w:r>
        <w:rPr>
          <w:rFonts w:hint="eastAsia" w:ascii="仿宋_GB2312" w:eastAsia="仿宋_GB2312"/>
          <w:bCs/>
          <w:sz w:val="28"/>
          <w:szCs w:val="28"/>
        </w:rPr>
        <w:t>或移动通讯网络连接乙方委托系统</w:t>
      </w:r>
      <w:r>
        <w:rPr>
          <w:rFonts w:hint="eastAsia" w:ascii="仿宋_GB2312" w:eastAsia="仿宋_GB2312" w:cs="Arial"/>
          <w:kern w:val="0"/>
          <w:sz w:val="28"/>
          <w:szCs w:val="28"/>
        </w:rPr>
        <w:t>的设备。</w:t>
      </w:r>
    </w:p>
    <w:p>
      <w:pPr>
        <w:spacing w:line="360" w:lineRule="auto"/>
        <w:ind w:firstLine="562" w:firstLineChars="200"/>
        <w:rPr>
          <w:rFonts w:ascii="仿宋_GB2312" w:eastAsia="仿宋_GB2312"/>
          <w:bCs/>
          <w:sz w:val="28"/>
          <w:szCs w:val="28"/>
        </w:rPr>
      </w:pPr>
      <w:r>
        <w:rPr>
          <w:rFonts w:hint="eastAsia" w:ascii="仿宋_GB2312" w:eastAsia="仿宋_GB2312" w:cs="_GB2312"/>
          <w:b/>
          <w:kern w:val="0"/>
          <w:sz w:val="28"/>
          <w:szCs w:val="28"/>
        </w:rPr>
        <w:t>第七条</w:t>
      </w:r>
      <w:r>
        <w:rPr>
          <w:rFonts w:hint="eastAsia" w:ascii="仿宋_GB2312" w:eastAsia="仿宋_GB2312" w:cs="_GB2312"/>
          <w:kern w:val="0"/>
          <w:sz w:val="28"/>
          <w:szCs w:val="28"/>
        </w:rPr>
        <w:t>　</w:t>
      </w:r>
      <w:r>
        <w:rPr>
          <w:rFonts w:hint="eastAsia" w:ascii="仿宋_GB2312" w:eastAsia="仿宋_GB2312"/>
          <w:bCs/>
          <w:sz w:val="28"/>
          <w:szCs w:val="28"/>
        </w:rPr>
        <w:t>甲乙双方可以书面方式约定本协议第五条约定的委托方式之外的其他委托方式，并约定该委托方式的执行程序、身份验证方式等内容。</w:t>
      </w:r>
    </w:p>
    <w:p>
      <w:pPr>
        <w:spacing w:line="336" w:lineRule="auto"/>
        <w:ind w:firstLine="562" w:firstLineChars="200"/>
        <w:rPr>
          <w:rFonts w:ascii="仿宋_GB2312" w:eastAsia="仿宋_GB2312" w:cs="仿宋_GB2312"/>
          <w:sz w:val="28"/>
          <w:szCs w:val="28"/>
        </w:rPr>
      </w:pPr>
      <w:r>
        <w:rPr>
          <w:rFonts w:hint="eastAsia" w:ascii="仿宋_GB2312" w:eastAsia="仿宋_GB2312" w:cs="仿宋_GB2312"/>
          <w:b/>
          <w:bCs/>
          <w:sz w:val="28"/>
          <w:szCs w:val="28"/>
        </w:rPr>
        <w:t>第八条</w:t>
      </w:r>
      <w:r>
        <w:rPr>
          <w:rFonts w:hint="eastAsia" w:ascii="仿宋_GB2312" w:eastAsia="仿宋_GB2312" w:cs="仿宋_GB2312"/>
          <w:sz w:val="28"/>
          <w:szCs w:val="28"/>
        </w:rPr>
        <w:t>　</w:t>
      </w:r>
      <w:r>
        <w:rPr>
          <w:rFonts w:hint="eastAsia" w:ascii="仿宋_GB2312" w:eastAsia="仿宋_GB2312" w:cs="Arial"/>
          <w:bCs/>
          <w:kern w:val="0"/>
          <w:sz w:val="28"/>
          <w:szCs w:val="28"/>
        </w:rPr>
        <w:t>甲方</w:t>
      </w:r>
      <w:r>
        <w:rPr>
          <w:rFonts w:hint="eastAsia" w:ascii="仿宋_GB2312" w:eastAsia="仿宋_GB2312" w:cs="仿宋_GB2312"/>
          <w:sz w:val="28"/>
          <w:szCs w:val="28"/>
        </w:rPr>
        <w:t>应同时开通多种委托方式，当乙方某种自助委托系统出现故障或其他异常情况时，甲方可采用其他委托方式下达委托指令。</w:t>
      </w:r>
    </w:p>
    <w:p>
      <w:pPr>
        <w:spacing w:line="360" w:lineRule="auto"/>
        <w:ind w:firstLine="562" w:firstLineChars="200"/>
        <w:rPr>
          <w:rFonts w:ascii="仿宋_GB2312" w:eastAsia="仿宋_GB2312" w:cs="仿宋_GB2312"/>
          <w:kern w:val="0"/>
          <w:sz w:val="28"/>
          <w:szCs w:val="28"/>
        </w:rPr>
      </w:pPr>
      <w:r>
        <w:rPr>
          <w:rFonts w:hint="eastAsia" w:ascii="仿宋_GB2312" w:eastAsia="仿宋_GB2312" w:cs="仿宋_GB2312"/>
          <w:b/>
          <w:bCs/>
          <w:kern w:val="0"/>
          <w:sz w:val="28"/>
          <w:szCs w:val="28"/>
        </w:rPr>
        <w:t>第九条</w:t>
      </w:r>
      <w:r>
        <w:rPr>
          <w:rFonts w:hint="eastAsia" w:ascii="仿宋_GB2312" w:eastAsia="仿宋_GB2312" w:cs="仿宋_GB2312"/>
          <w:kern w:val="0"/>
          <w:sz w:val="28"/>
          <w:szCs w:val="28"/>
        </w:rPr>
        <w:t>　甲方委托乙方代理其进行证券交易而发出的委托及撤销委托等指令的内容和方式应符合证券市场的交易规则及本协议的相关约定。</w:t>
      </w:r>
      <w:r>
        <w:rPr>
          <w:rFonts w:hint="eastAsia" w:ascii="仿宋_GB2312" w:eastAsia="仿宋_GB2312" w:cs="仿宋_GB2312"/>
          <w:sz w:val="28"/>
          <w:szCs w:val="28"/>
        </w:rPr>
        <w:t>甲方通过乙方委托系统</w:t>
      </w:r>
      <w:r>
        <w:rPr>
          <w:rFonts w:hint="eastAsia" w:ascii="仿宋_GB2312" w:eastAsia="仿宋_GB2312" w:cs="仿宋_GB2312"/>
          <w:kern w:val="0"/>
          <w:sz w:val="28"/>
          <w:szCs w:val="28"/>
        </w:rPr>
        <w:t>进行证券交易时，如因甲方操作失误或因甲方指令违反证券市场交易规则或本协议约定，或其他可归咎于甲方的原因而造成损失的，由甲方承担。</w:t>
      </w:r>
    </w:p>
    <w:p>
      <w:pPr>
        <w:spacing w:line="336" w:lineRule="auto"/>
        <w:ind w:firstLine="562" w:firstLineChars="200"/>
        <w:rPr>
          <w:rFonts w:ascii="仿宋_GB2312" w:eastAsia="仿宋_GB2312" w:cs="仿宋_GB2312"/>
          <w:kern w:val="0"/>
          <w:sz w:val="28"/>
          <w:szCs w:val="28"/>
        </w:rPr>
      </w:pPr>
      <w:r>
        <w:rPr>
          <w:rFonts w:hint="eastAsia" w:ascii="仿宋_GB2312" w:eastAsia="仿宋_GB2312" w:cs="仿宋_GB2312"/>
          <w:b/>
          <w:bCs/>
          <w:kern w:val="0"/>
          <w:sz w:val="28"/>
          <w:szCs w:val="28"/>
        </w:rPr>
        <w:t>第十条</w:t>
      </w:r>
      <w:r>
        <w:rPr>
          <w:rFonts w:ascii="仿宋_GB2312" w:eastAsia="仿宋_GB2312" w:cs="仿宋_GB2312"/>
          <w:kern w:val="0"/>
          <w:sz w:val="28"/>
          <w:szCs w:val="28"/>
        </w:rPr>
        <w:t xml:space="preserve"> </w:t>
      </w:r>
      <w:r>
        <w:rPr>
          <w:rFonts w:hint="eastAsia" w:ascii="仿宋_GB2312" w:eastAsia="仿宋_GB2312" w:cs="仿宋_GB2312"/>
          <w:kern w:val="0"/>
          <w:sz w:val="28"/>
          <w:szCs w:val="28"/>
        </w:rPr>
        <w:t xml:space="preserve"> 如甲方发出的指令被乙方委托系统或证券交易所交易系统拒绝受理，则该委托应视为无效委托。</w:t>
      </w:r>
    </w:p>
    <w:p>
      <w:pPr>
        <w:spacing w:line="360" w:lineRule="auto"/>
        <w:ind w:firstLine="560" w:firstLineChars="200"/>
        <w:rPr>
          <w:rFonts w:ascii="仿宋_GB2312" w:eastAsia="仿宋_GB2312"/>
          <w:sz w:val="28"/>
          <w:szCs w:val="28"/>
        </w:rPr>
      </w:pPr>
      <w:r>
        <w:rPr>
          <w:rFonts w:hint="eastAsia" w:ascii="仿宋_GB2312" w:eastAsia="仿宋_GB2312" w:cs="仿宋_GB2312"/>
          <w:kern w:val="0"/>
          <w:sz w:val="28"/>
          <w:szCs w:val="28"/>
        </w:rPr>
        <w:t>甲方在进行委托前须确保已完全了解有关交易规则，避免发出无效委托指令。</w:t>
      </w:r>
    </w:p>
    <w:p>
      <w:pPr>
        <w:spacing w:line="336" w:lineRule="auto"/>
        <w:ind w:firstLine="562" w:firstLineChars="200"/>
        <w:rPr>
          <w:rFonts w:ascii="仿宋_GB2312" w:eastAsia="仿宋_GB2312" w:cs="Times New Roman"/>
          <w:kern w:val="0"/>
          <w:sz w:val="28"/>
          <w:szCs w:val="28"/>
        </w:rPr>
      </w:pPr>
      <w:r>
        <w:rPr>
          <w:rFonts w:hint="eastAsia" w:ascii="仿宋_GB2312" w:eastAsia="仿宋_GB2312" w:cs="仿宋_GB2312"/>
          <w:b/>
          <w:bCs/>
          <w:kern w:val="0"/>
          <w:sz w:val="28"/>
          <w:szCs w:val="28"/>
        </w:rPr>
        <w:t>第十一条</w:t>
      </w:r>
      <w:r>
        <w:rPr>
          <w:rFonts w:hint="eastAsia" w:ascii="仿宋_GB2312" w:eastAsia="仿宋_GB2312" w:cs="仿宋_GB2312"/>
          <w:kern w:val="0"/>
          <w:sz w:val="28"/>
          <w:szCs w:val="28"/>
        </w:rPr>
        <w:t xml:space="preserve">  乙方接受甲方委托指令时，如果出现由于甲方原委托指令未撤销而造成乙方无法执行甲方新的委托指令时，由此导致的后果、风险和损失，由甲方承担。</w:t>
      </w:r>
    </w:p>
    <w:p>
      <w:pPr>
        <w:spacing w:line="360" w:lineRule="auto"/>
        <w:ind w:firstLine="562" w:firstLineChars="200"/>
        <w:rPr>
          <w:rFonts w:ascii="仿宋_GB2312" w:eastAsia="仿宋_GB2312" w:cs="仿宋_GB2312"/>
          <w:kern w:val="0"/>
          <w:sz w:val="28"/>
          <w:szCs w:val="28"/>
        </w:rPr>
      </w:pPr>
      <w:r>
        <w:rPr>
          <w:rFonts w:hint="eastAsia" w:ascii="仿宋_GB2312" w:eastAsia="仿宋_GB2312" w:cs="仿宋_GB2312"/>
          <w:b/>
          <w:bCs/>
          <w:kern w:val="0"/>
          <w:sz w:val="28"/>
          <w:szCs w:val="28"/>
        </w:rPr>
        <w:t>第十二条</w:t>
      </w:r>
      <w:r>
        <w:rPr>
          <w:rFonts w:hint="eastAsia" w:ascii="仿宋_GB2312" w:eastAsia="仿宋_GB2312" w:cs="仿宋_GB2312"/>
          <w:kern w:val="0"/>
          <w:sz w:val="28"/>
          <w:szCs w:val="28"/>
        </w:rPr>
        <w:t>　甲方在委托有效期内可对未显示成交回报的委托发出撤销委托指令（交易规则另有规定的除外），但由于市场价格随时波动及成交回报速度的原因，甲方的撤销委托指令虽经乙方发出，但甲方委托可能已在市场成交，此时甲方</w:t>
      </w:r>
      <w:r>
        <w:rPr>
          <w:rFonts w:hint="eastAsia" w:ascii="仿宋_GB2312" w:eastAsia="仿宋_GB2312"/>
          <w:sz w:val="28"/>
          <w:szCs w:val="28"/>
        </w:rPr>
        <w:t>应承认并接受该成交结果</w:t>
      </w:r>
      <w:r>
        <w:rPr>
          <w:rFonts w:hint="eastAsia" w:ascii="仿宋_GB2312" w:eastAsia="仿宋_GB2312" w:cs="仿宋_GB2312"/>
          <w:kern w:val="0"/>
          <w:sz w:val="28"/>
          <w:szCs w:val="28"/>
        </w:rPr>
        <w:t>。</w:t>
      </w:r>
    </w:p>
    <w:p>
      <w:pPr>
        <w:spacing w:line="336" w:lineRule="auto"/>
        <w:ind w:firstLine="562" w:firstLineChars="200"/>
        <w:rPr>
          <w:rFonts w:ascii="仿宋_GB2312" w:eastAsia="仿宋_GB2312" w:cs="仿宋_GB2312"/>
          <w:kern w:val="0"/>
          <w:sz w:val="28"/>
          <w:szCs w:val="28"/>
        </w:rPr>
      </w:pPr>
      <w:r>
        <w:rPr>
          <w:rFonts w:hint="eastAsia" w:ascii="仿宋_GB2312" w:eastAsia="仿宋_GB2312" w:cs="仿宋_GB2312"/>
          <w:b/>
          <w:bCs/>
          <w:kern w:val="0"/>
          <w:sz w:val="28"/>
          <w:szCs w:val="28"/>
        </w:rPr>
        <w:t>第十三条</w:t>
      </w:r>
      <w:r>
        <w:rPr>
          <w:rFonts w:ascii="仿宋_GB2312" w:eastAsia="仿宋_GB2312" w:cs="仿宋_GB2312"/>
          <w:kern w:val="0"/>
          <w:sz w:val="28"/>
          <w:szCs w:val="28"/>
        </w:rPr>
        <w:t xml:space="preserve"> </w:t>
      </w:r>
      <w:r>
        <w:rPr>
          <w:rFonts w:hint="eastAsia" w:ascii="仿宋_GB2312" w:eastAsia="仿宋_GB2312" w:cs="仿宋_GB2312"/>
          <w:kern w:val="0"/>
          <w:sz w:val="28"/>
          <w:szCs w:val="28"/>
        </w:rPr>
        <w:t>甲方委托指令成交与否以证券登记结算机构发送的清算数据为准，成交即时回报仅供参考。由于市场或设备、网络通讯等技术原因，如果出现高于甲方委托卖出价格或者低于甲方委托买入价格的成交价后长时间仍无成交即时回报的情况，此时甲方委托指令成交与否一律以证券登记结算机构发送的清算数据为准。乙方接受甲方对其委托成交及账户资金和证券变化情况的查询，并应根据甲方的要求提供相应的清单。</w:t>
      </w:r>
    </w:p>
    <w:p>
      <w:pPr>
        <w:spacing w:line="360" w:lineRule="auto"/>
        <w:ind w:firstLine="562" w:firstLineChars="200"/>
        <w:rPr>
          <w:rFonts w:ascii="仿宋_GB2312" w:eastAsia="仿宋_GB2312" w:cs="仿宋_GB2312"/>
          <w:kern w:val="0"/>
          <w:sz w:val="28"/>
          <w:szCs w:val="28"/>
        </w:rPr>
      </w:pPr>
      <w:r>
        <w:rPr>
          <w:rFonts w:hint="eastAsia" w:ascii="仿宋_GB2312" w:eastAsia="仿宋_GB2312" w:cs="仿宋_GB2312"/>
          <w:b/>
          <w:bCs/>
          <w:kern w:val="0"/>
          <w:sz w:val="28"/>
          <w:szCs w:val="28"/>
        </w:rPr>
        <w:t>第十四条</w:t>
      </w:r>
      <w:r>
        <w:rPr>
          <w:rFonts w:hint="eastAsia" w:ascii="仿宋_GB2312" w:eastAsia="仿宋_GB2312" w:cs="仿宋_GB2312"/>
          <w:kern w:val="0"/>
          <w:sz w:val="28"/>
          <w:szCs w:val="28"/>
        </w:rPr>
        <w:t>　甲方应特别注意证券市场有关股票配股缴款、红利领取、红股上市等已发布信息，并应在配股缴款截止日和红股上市</w:t>
      </w:r>
      <w:r>
        <w:rPr>
          <w:rFonts w:hint="eastAsia" w:ascii="仿宋_GB2312" w:eastAsia="仿宋_GB2312"/>
          <w:sz w:val="28"/>
          <w:szCs w:val="28"/>
        </w:rPr>
        <w:t>当日开盘前</w:t>
      </w:r>
      <w:r>
        <w:rPr>
          <w:rFonts w:hint="eastAsia" w:ascii="仿宋_GB2312" w:eastAsia="仿宋_GB2312" w:cs="仿宋_GB2312"/>
          <w:kern w:val="0"/>
          <w:sz w:val="28"/>
          <w:szCs w:val="28"/>
        </w:rPr>
        <w:t>向乙方确认配股缴款情况和红股上账情况。</w:t>
      </w:r>
    </w:p>
    <w:p>
      <w:pPr>
        <w:spacing w:line="336" w:lineRule="auto"/>
        <w:ind w:firstLine="562" w:firstLineChars="200"/>
        <w:rPr>
          <w:rFonts w:ascii="仿宋_GB2312" w:eastAsia="仿宋_GB2312" w:cs="仿宋_GB2312"/>
          <w:kern w:val="0"/>
          <w:sz w:val="28"/>
          <w:szCs w:val="28"/>
        </w:rPr>
      </w:pPr>
      <w:r>
        <w:rPr>
          <w:rFonts w:hint="eastAsia" w:ascii="仿宋_GB2312" w:eastAsia="仿宋_GB2312" w:cs="仿宋_GB2312"/>
          <w:b/>
          <w:bCs/>
          <w:kern w:val="0"/>
          <w:sz w:val="28"/>
          <w:szCs w:val="28"/>
        </w:rPr>
        <w:t>第十五条</w:t>
      </w:r>
      <w:r>
        <w:rPr>
          <w:rFonts w:ascii="仿宋_GB2312" w:eastAsia="仿宋_GB2312" w:cs="仿宋_GB2312"/>
          <w:kern w:val="0"/>
          <w:sz w:val="28"/>
          <w:szCs w:val="28"/>
        </w:rPr>
        <w:t xml:space="preserve"> </w:t>
      </w:r>
      <w:r>
        <w:rPr>
          <w:rFonts w:hint="eastAsia" w:ascii="仿宋_GB2312" w:eastAsia="仿宋_GB2312" w:cs="仿宋_GB2312"/>
          <w:kern w:val="0"/>
          <w:sz w:val="28"/>
          <w:szCs w:val="28"/>
        </w:rPr>
        <w:t>甲方发现以下异常情形时，应立即通知乙方，以保证甲方的正常交易能够尽快恢复：</w:t>
      </w:r>
    </w:p>
    <w:p>
      <w:pPr>
        <w:spacing w:line="336" w:lineRule="auto"/>
        <w:ind w:firstLine="560" w:firstLineChars="200"/>
        <w:rPr>
          <w:rFonts w:ascii="仿宋_GB2312" w:eastAsia="仿宋_GB2312" w:cs="仿宋_GB2312"/>
          <w:kern w:val="0"/>
          <w:sz w:val="28"/>
          <w:szCs w:val="28"/>
        </w:rPr>
      </w:pPr>
      <w:r>
        <w:rPr>
          <w:rFonts w:ascii="仿宋_GB2312" w:eastAsia="仿宋_GB2312" w:cs="仿宋_GB2312"/>
          <w:kern w:val="0"/>
          <w:sz w:val="28"/>
          <w:szCs w:val="28"/>
        </w:rPr>
        <w:t>1</w:t>
      </w:r>
      <w:r>
        <w:rPr>
          <w:rFonts w:hint="eastAsia" w:ascii="仿宋_GB2312" w:eastAsia="仿宋_GB2312" w:cs="仿宋_GB2312"/>
          <w:kern w:val="0"/>
          <w:sz w:val="28"/>
          <w:szCs w:val="28"/>
        </w:rPr>
        <w:t>.证券交易所已开市，甲方无法进入委托交易系统；</w:t>
      </w:r>
    </w:p>
    <w:p>
      <w:pPr>
        <w:spacing w:line="336" w:lineRule="auto"/>
        <w:ind w:firstLine="560" w:firstLineChars="200"/>
        <w:rPr>
          <w:rFonts w:ascii="仿宋_GB2312" w:eastAsia="仿宋_GB2312" w:cs="仿宋_GB2312"/>
          <w:kern w:val="0"/>
          <w:sz w:val="28"/>
          <w:szCs w:val="28"/>
        </w:rPr>
      </w:pPr>
      <w:r>
        <w:rPr>
          <w:rFonts w:ascii="仿宋_GB2312" w:eastAsia="仿宋_GB2312" w:cs="仿宋_GB2312"/>
          <w:kern w:val="0"/>
          <w:sz w:val="28"/>
          <w:szCs w:val="28"/>
        </w:rPr>
        <w:t>2</w:t>
      </w:r>
      <w:r>
        <w:rPr>
          <w:rFonts w:hint="eastAsia" w:ascii="仿宋_GB2312" w:eastAsia="仿宋_GB2312" w:cs="仿宋_GB2312"/>
          <w:kern w:val="0"/>
          <w:sz w:val="28"/>
          <w:szCs w:val="28"/>
        </w:rPr>
        <w:t>.甲方发现账户中资产余额</w:t>
      </w:r>
      <w:r>
        <w:rPr>
          <w:rFonts w:hint="eastAsia" w:ascii="仿宋_GB2312" w:eastAsia="仿宋_GB2312"/>
          <w:sz w:val="28"/>
          <w:szCs w:val="28"/>
        </w:rPr>
        <w:t>、委托记录</w:t>
      </w:r>
      <w:r>
        <w:rPr>
          <w:rFonts w:hint="eastAsia" w:ascii="仿宋_GB2312" w:eastAsia="仿宋_GB2312" w:cs="仿宋_GB2312"/>
          <w:kern w:val="0"/>
          <w:sz w:val="28"/>
          <w:szCs w:val="28"/>
        </w:rPr>
        <w:t>有异常；</w:t>
      </w:r>
    </w:p>
    <w:p>
      <w:pPr>
        <w:spacing w:line="336" w:lineRule="auto"/>
        <w:ind w:firstLine="560" w:firstLineChars="200"/>
        <w:rPr>
          <w:rFonts w:ascii="仿宋_GB2312" w:eastAsia="仿宋_GB2312" w:cs="仿宋_GB2312"/>
          <w:kern w:val="0"/>
          <w:sz w:val="28"/>
          <w:szCs w:val="28"/>
        </w:rPr>
      </w:pPr>
      <w:r>
        <w:rPr>
          <w:rFonts w:ascii="仿宋_GB2312" w:eastAsia="仿宋_GB2312" w:cs="仿宋_GB2312"/>
          <w:kern w:val="0"/>
          <w:sz w:val="28"/>
          <w:szCs w:val="28"/>
        </w:rPr>
        <w:t>3</w:t>
      </w:r>
      <w:r>
        <w:rPr>
          <w:rFonts w:hint="eastAsia" w:ascii="仿宋_GB2312" w:eastAsia="仿宋_GB2312" w:cs="仿宋_GB2312"/>
          <w:kern w:val="0"/>
          <w:sz w:val="28"/>
          <w:szCs w:val="28"/>
        </w:rPr>
        <w:t>.甲方发现有人在未经任何授权的情况下使用其数字证书或账户密码；</w:t>
      </w:r>
    </w:p>
    <w:p>
      <w:pPr>
        <w:spacing w:line="336" w:lineRule="auto"/>
        <w:ind w:firstLine="560" w:firstLineChars="200"/>
        <w:rPr>
          <w:rFonts w:ascii="仿宋_GB2312" w:eastAsia="仿宋_GB2312" w:cs="仿宋_GB2312"/>
          <w:kern w:val="0"/>
          <w:sz w:val="28"/>
          <w:szCs w:val="28"/>
        </w:rPr>
      </w:pPr>
      <w:r>
        <w:rPr>
          <w:rFonts w:hint="eastAsia" w:ascii="仿宋_GB2312" w:eastAsia="仿宋_GB2312" w:cs="仿宋_GB2312"/>
          <w:kern w:val="0"/>
          <w:sz w:val="28"/>
          <w:szCs w:val="28"/>
        </w:rPr>
        <w:t>4.</w:t>
      </w:r>
      <w:r>
        <w:rPr>
          <w:rFonts w:hint="eastAsia" w:ascii="仿宋_GB2312" w:eastAsia="仿宋_GB2312"/>
          <w:sz w:val="28"/>
          <w:szCs w:val="28"/>
        </w:rPr>
        <w:t>甲方发现其他影响其正常交易的异常情形</w:t>
      </w:r>
      <w:r>
        <w:rPr>
          <w:rFonts w:hint="eastAsia" w:ascii="仿宋_GB2312" w:eastAsia="仿宋_GB2312" w:cs="仿宋_GB2312"/>
          <w:kern w:val="0"/>
          <w:sz w:val="28"/>
          <w:szCs w:val="28"/>
        </w:rPr>
        <w:t>。</w:t>
      </w:r>
    </w:p>
    <w:p>
      <w:pPr>
        <w:spacing w:line="336" w:lineRule="auto"/>
        <w:ind w:firstLine="560" w:firstLineChars="200"/>
        <w:rPr>
          <w:rFonts w:ascii="仿宋_GB2312" w:eastAsia="仿宋_GB2312" w:cs="仿宋_GB2312"/>
          <w:kern w:val="0"/>
          <w:sz w:val="28"/>
          <w:szCs w:val="28"/>
        </w:rPr>
      </w:pPr>
      <w:r>
        <w:rPr>
          <w:rFonts w:hint="eastAsia" w:ascii="仿宋_GB2312" w:eastAsia="仿宋_GB2312" w:cs="仿宋_GB2312"/>
          <w:kern w:val="0"/>
          <w:sz w:val="28"/>
          <w:szCs w:val="28"/>
        </w:rPr>
        <w:t>出现上述系统异常情形时，如甲方未能立即通知乙方，由此而导致的后果、损失和风险，由甲方自行承担。</w:t>
      </w:r>
    </w:p>
    <w:p>
      <w:pPr>
        <w:spacing w:line="360" w:lineRule="auto"/>
        <w:ind w:firstLine="562" w:firstLineChars="200"/>
        <w:rPr>
          <w:rFonts w:ascii="仿宋_GB2312" w:eastAsia="仿宋_GB2312" w:cs="仿宋_GB2312"/>
          <w:kern w:val="0"/>
          <w:sz w:val="28"/>
          <w:szCs w:val="28"/>
        </w:rPr>
      </w:pPr>
      <w:r>
        <w:rPr>
          <w:rFonts w:hint="eastAsia" w:ascii="仿宋_GB2312" w:eastAsia="仿宋_GB2312" w:cs="仿宋_GB2312"/>
          <w:b/>
          <w:bCs/>
          <w:kern w:val="0"/>
          <w:sz w:val="28"/>
          <w:szCs w:val="28"/>
        </w:rPr>
        <w:t>第十六条</w:t>
      </w:r>
      <w:r>
        <w:rPr>
          <w:rFonts w:hint="eastAsia" w:ascii="仿宋_GB2312" w:eastAsia="仿宋_GB2312" w:cs="仿宋_GB2312"/>
          <w:kern w:val="0"/>
          <w:sz w:val="28"/>
          <w:szCs w:val="28"/>
        </w:rPr>
        <w:t>　甲方应在委托指令下达后三个交易日内向乙方查询该委托结果，如甲方对委托结果有异议或发现任何系统异常情况，须在查询当日以书面形式向乙方提出质询。</w:t>
      </w:r>
    </w:p>
    <w:p>
      <w:pPr>
        <w:spacing w:line="360" w:lineRule="auto"/>
        <w:ind w:firstLine="560" w:firstLineChars="200"/>
        <w:rPr>
          <w:rFonts w:ascii="仿宋_GB2312" w:eastAsia="仿宋_GB2312" w:cs="Times New Roman"/>
          <w:kern w:val="0"/>
          <w:sz w:val="28"/>
          <w:szCs w:val="28"/>
        </w:rPr>
      </w:pPr>
      <w:r>
        <w:rPr>
          <w:rFonts w:hint="eastAsia" w:ascii="仿宋_GB2312" w:eastAsia="仿宋_GB2312" w:cs="仿宋_GB2312"/>
          <w:kern w:val="0"/>
          <w:sz w:val="28"/>
          <w:szCs w:val="28"/>
        </w:rPr>
        <w:t>甲方逾期未办理查询或未对有异议的查询结果以书面方式向乙方提出质询的，视同甲方对该委托结果无异议。</w:t>
      </w:r>
    </w:p>
    <w:p>
      <w:pPr>
        <w:spacing w:line="360" w:lineRule="auto"/>
        <w:ind w:firstLine="562" w:firstLineChars="200"/>
        <w:rPr>
          <w:rFonts w:ascii="仿宋_GB2312" w:eastAsia="仿宋_GB2312" w:cs="仿宋_GB2312"/>
          <w:kern w:val="0"/>
          <w:sz w:val="28"/>
          <w:szCs w:val="28"/>
        </w:rPr>
      </w:pPr>
      <w:r>
        <w:rPr>
          <w:rFonts w:hint="eastAsia" w:ascii="仿宋_GB2312" w:eastAsia="仿宋_GB2312" w:cs="仿宋_GB2312"/>
          <w:b/>
          <w:bCs/>
          <w:kern w:val="0"/>
          <w:sz w:val="28"/>
          <w:szCs w:val="28"/>
        </w:rPr>
        <w:t>第十七条</w:t>
      </w:r>
      <w:r>
        <w:rPr>
          <w:rFonts w:hint="eastAsia" w:ascii="仿宋_GB2312" w:eastAsia="仿宋_GB2312" w:cs="仿宋_GB2312"/>
          <w:kern w:val="0"/>
          <w:sz w:val="28"/>
          <w:szCs w:val="28"/>
        </w:rPr>
        <w:t xml:space="preserve"> 甲方可要求乙方为其提供买卖成交明细单。甲方可在乙方经营场所临柜查询和打印，也可通过乙方提供的其他方式查询和打印。双方另行通过书面方式约定交付方式和交付时间的，乙方应按约定执行。</w:t>
      </w:r>
    </w:p>
    <w:p>
      <w:pPr>
        <w:spacing w:line="360" w:lineRule="auto"/>
        <w:ind w:firstLine="562" w:firstLineChars="200"/>
        <w:rPr>
          <w:rFonts w:ascii="仿宋_GB2312" w:eastAsia="仿宋_GB2312" w:cs="仿宋_GB2312"/>
          <w:kern w:val="0"/>
          <w:sz w:val="28"/>
          <w:szCs w:val="28"/>
        </w:rPr>
      </w:pPr>
      <w:r>
        <w:rPr>
          <w:rFonts w:hint="eastAsia" w:ascii="仿宋_GB2312" w:eastAsia="仿宋_GB2312" w:cs="仿宋_GB2312"/>
          <w:b/>
          <w:bCs/>
          <w:kern w:val="0"/>
          <w:sz w:val="28"/>
          <w:szCs w:val="28"/>
        </w:rPr>
        <w:t>第十八条</w:t>
      </w:r>
      <w:r>
        <w:rPr>
          <w:rFonts w:hint="eastAsia" w:ascii="仿宋_GB2312" w:eastAsia="仿宋_GB2312" w:cs="仿宋_GB2312"/>
          <w:kern w:val="0"/>
          <w:sz w:val="28"/>
          <w:szCs w:val="28"/>
        </w:rPr>
        <w:t xml:space="preserve"> 甲方的交易委托必须符合法律法规和证券交易所交易规则等规定。对于甲方可能影响正常交易秩序的异常交易行为，乙方有权按照证券交易所的要求对甲方的交易委托采取限制措施。</w:t>
      </w:r>
    </w:p>
    <w:p>
      <w:pPr>
        <w:pStyle w:val="2"/>
        <w:jc w:val="center"/>
        <w:rPr>
          <w:rFonts w:ascii="仿宋_GB2312" w:eastAsia="仿宋_GB2312" w:cs="仿宋_GB2312"/>
          <w:bCs w:val="0"/>
          <w:kern w:val="0"/>
          <w:sz w:val="28"/>
          <w:szCs w:val="28"/>
        </w:rPr>
      </w:pPr>
      <w:bookmarkStart w:id="3" w:name="_Toc357692079"/>
      <w:r>
        <w:rPr>
          <w:rFonts w:hint="eastAsia" w:ascii="仿宋_GB2312" w:eastAsia="仿宋_GB2312" w:cs="仿宋_GB2312"/>
          <w:bCs w:val="0"/>
          <w:kern w:val="0"/>
          <w:sz w:val="28"/>
          <w:szCs w:val="28"/>
        </w:rPr>
        <w:t>第三章  双方的责任及免责条款</w:t>
      </w:r>
      <w:bookmarkEnd w:id="3"/>
    </w:p>
    <w:p>
      <w:pPr>
        <w:spacing w:line="336" w:lineRule="auto"/>
        <w:ind w:firstLine="562" w:firstLineChars="200"/>
        <w:rPr>
          <w:rFonts w:ascii="仿宋_GB2312" w:eastAsia="仿宋_GB2312" w:cs="仿宋_GB2312"/>
          <w:kern w:val="0"/>
          <w:sz w:val="28"/>
          <w:szCs w:val="28"/>
        </w:rPr>
      </w:pPr>
      <w:r>
        <w:rPr>
          <w:rFonts w:hint="eastAsia" w:ascii="仿宋_GB2312" w:eastAsia="仿宋_GB2312" w:cs="仿宋_GB2312"/>
          <w:b/>
          <w:bCs/>
          <w:kern w:val="0"/>
          <w:sz w:val="28"/>
          <w:szCs w:val="28"/>
        </w:rPr>
        <w:t>第十九条</w:t>
      </w:r>
      <w:r>
        <w:rPr>
          <w:rFonts w:hint="eastAsia" w:ascii="仿宋_GB2312" w:eastAsia="仿宋_GB2312" w:cs="仿宋_GB2312"/>
          <w:kern w:val="0"/>
          <w:sz w:val="28"/>
          <w:szCs w:val="28"/>
        </w:rPr>
        <w:t xml:space="preserve"> 甲方委托乙方买卖证券时应保证其账户中有足够的资金或证券，保证根据成交结果承担相应的清算交收责任，否则乙方有权拒绝甲方的委托指令。</w:t>
      </w:r>
    </w:p>
    <w:p>
      <w:pPr>
        <w:spacing w:line="336" w:lineRule="auto"/>
        <w:ind w:firstLine="562" w:firstLineChars="200"/>
        <w:rPr>
          <w:rFonts w:ascii="仿宋_GB2312" w:eastAsia="仿宋_GB2312" w:cs="仿宋_GB2312"/>
          <w:kern w:val="0"/>
          <w:sz w:val="28"/>
          <w:szCs w:val="28"/>
        </w:rPr>
      </w:pPr>
      <w:r>
        <w:rPr>
          <w:rFonts w:hint="eastAsia" w:ascii="仿宋_GB2312" w:eastAsia="仿宋_GB2312" w:cs="仿宋_GB2312"/>
          <w:b/>
          <w:bCs/>
          <w:kern w:val="0"/>
          <w:sz w:val="28"/>
          <w:szCs w:val="28"/>
        </w:rPr>
        <w:t>第二十条</w:t>
      </w:r>
      <w:r>
        <w:rPr>
          <w:rFonts w:ascii="仿宋_GB2312" w:eastAsia="仿宋_GB2312" w:cs="仿宋_GB2312"/>
          <w:b/>
          <w:bCs/>
          <w:kern w:val="0"/>
          <w:sz w:val="28"/>
          <w:szCs w:val="28"/>
        </w:rPr>
        <w:t xml:space="preserve"> </w:t>
      </w:r>
      <w:r>
        <w:rPr>
          <w:rFonts w:hint="eastAsia" w:ascii="仿宋_GB2312" w:eastAsia="仿宋_GB2312" w:cs="仿宋_GB2312"/>
          <w:kern w:val="0"/>
          <w:sz w:val="28"/>
          <w:szCs w:val="28"/>
        </w:rPr>
        <w:t>甲方委托乙方买卖证券成交的，应当依法缴纳税费并按约定向乙方交纳佣金及其他服务费。</w:t>
      </w:r>
    </w:p>
    <w:p>
      <w:pPr>
        <w:pStyle w:val="16"/>
        <w:ind w:firstLine="562"/>
      </w:pPr>
      <w:r>
        <w:rPr>
          <w:rFonts w:hint="eastAsia"/>
          <w:b/>
          <w:bCs/>
        </w:rPr>
        <w:t>第二十一条</w:t>
      </w:r>
      <w:r>
        <w:rPr>
          <w:rFonts w:hint="eastAsia"/>
        </w:rPr>
        <w:t>　因地震、台风、水灾、火灾、战争、瘟疫、社会动乱及其他不可抗力因素导致的甲方损失，乙方不承担任何赔偿责任。</w:t>
      </w:r>
    </w:p>
    <w:p>
      <w:pPr>
        <w:pStyle w:val="16"/>
        <w:ind w:firstLine="562"/>
      </w:pPr>
      <w:r>
        <w:rPr>
          <w:rFonts w:hint="eastAsia"/>
          <w:b/>
          <w:bCs/>
        </w:rPr>
        <w:t>第二十二条</w:t>
      </w:r>
      <w:r>
        <w:rPr>
          <w:rFonts w:hint="eastAsia"/>
        </w:rPr>
        <w:t>　因乙方不可预测或无法控制的系统故障、设备故障、通讯故障、电力故障等突发事故及其他非乙方人为因素，以及监管部门、自律组织等规定的其他免责情形，给甲方造成的损失，乙方如无过错则不承担任何赔偿责任。</w:t>
      </w:r>
    </w:p>
    <w:p>
      <w:pPr>
        <w:pStyle w:val="16"/>
        <w:ind w:firstLine="562"/>
      </w:pPr>
      <w:r>
        <w:rPr>
          <w:rFonts w:hint="eastAsia"/>
          <w:b/>
          <w:bCs/>
        </w:rPr>
        <w:t>第二十三条</w:t>
      </w:r>
      <w:r>
        <w:rPr>
          <w:rFonts w:hint="eastAsia"/>
        </w:rPr>
        <w:t>　第二十一、二十二条所述事件发生后，乙方应当及时采取措施防止甲方损失可能的进一步扩大。</w:t>
      </w:r>
    </w:p>
    <w:p>
      <w:pPr>
        <w:pStyle w:val="2"/>
        <w:jc w:val="center"/>
        <w:rPr>
          <w:rFonts w:ascii="仿宋_GB2312" w:eastAsia="仿宋_GB2312" w:cs="仿宋_GB2312"/>
          <w:bCs w:val="0"/>
          <w:kern w:val="0"/>
          <w:sz w:val="28"/>
          <w:szCs w:val="28"/>
        </w:rPr>
      </w:pPr>
      <w:bookmarkStart w:id="4" w:name="_Toc357692080"/>
      <w:r>
        <w:rPr>
          <w:rFonts w:hint="eastAsia" w:ascii="仿宋_GB2312" w:eastAsia="仿宋_GB2312" w:cs="仿宋_GB2312"/>
          <w:bCs w:val="0"/>
          <w:kern w:val="0"/>
          <w:sz w:val="28"/>
          <w:szCs w:val="28"/>
        </w:rPr>
        <w:t>第四章　争议的解决</w:t>
      </w:r>
      <w:bookmarkEnd w:id="4"/>
    </w:p>
    <w:p>
      <w:pPr>
        <w:spacing w:line="336" w:lineRule="auto"/>
        <w:ind w:firstLine="562" w:firstLineChars="200"/>
        <w:rPr>
          <w:rFonts w:ascii="仿宋_GB2312" w:eastAsia="仿宋_GB2312" w:cs="仿宋_GB2312"/>
          <w:kern w:val="0"/>
          <w:sz w:val="28"/>
          <w:szCs w:val="28"/>
        </w:rPr>
      </w:pPr>
      <w:r>
        <w:rPr>
          <w:rFonts w:hint="eastAsia" w:ascii="仿宋_GB2312" w:eastAsia="仿宋_GB2312" w:cs="仿宋_GB2312"/>
          <w:b/>
          <w:bCs/>
          <w:kern w:val="0"/>
          <w:sz w:val="28"/>
          <w:szCs w:val="28"/>
        </w:rPr>
        <w:t>第二十四条</w:t>
      </w:r>
      <w:r>
        <w:rPr>
          <w:rFonts w:ascii="仿宋_GB2312" w:eastAsia="仿宋_GB2312" w:cs="仿宋_GB2312"/>
          <w:kern w:val="0"/>
          <w:sz w:val="28"/>
          <w:szCs w:val="28"/>
        </w:rPr>
        <w:t xml:space="preserve">  </w:t>
      </w:r>
      <w:r>
        <w:rPr>
          <w:rFonts w:hint="eastAsia" w:ascii="仿宋_GB2312" w:eastAsia="仿宋_GB2312" w:cs="仿宋_GB2312"/>
          <w:kern w:val="0"/>
          <w:sz w:val="28"/>
          <w:szCs w:val="28"/>
        </w:rPr>
        <w:t>如出现涉及甲方财产继承或财产归属的事宜或纠纷，乙方均按公证机关出具的公证文件或司法机关</w:t>
      </w:r>
      <w:r>
        <w:rPr>
          <w:rFonts w:hint="eastAsia" w:ascii="仿宋_GB2312" w:eastAsia="仿宋_GB2312"/>
          <w:sz w:val="28"/>
          <w:szCs w:val="28"/>
        </w:rPr>
        <w:t>出具的生效裁判文书</w:t>
      </w:r>
      <w:r>
        <w:rPr>
          <w:rFonts w:hint="eastAsia" w:ascii="仿宋_GB2312" w:eastAsia="仿宋_GB2312" w:cs="仿宋_GB2312"/>
          <w:kern w:val="0"/>
          <w:sz w:val="28"/>
          <w:szCs w:val="28"/>
        </w:rPr>
        <w:t>办理。</w:t>
      </w:r>
    </w:p>
    <w:p>
      <w:pPr>
        <w:spacing w:line="360" w:lineRule="auto"/>
        <w:ind w:firstLine="562" w:firstLineChars="200"/>
        <w:rPr>
          <w:rFonts w:ascii="仿宋_GB2312" w:eastAsia="仿宋_GB2312"/>
          <w:bCs/>
          <w:sz w:val="28"/>
          <w:szCs w:val="28"/>
        </w:rPr>
      </w:pPr>
      <w:r>
        <w:rPr>
          <w:rFonts w:hint="eastAsia" w:ascii="仿宋_GB2312" w:eastAsia="仿宋_GB2312" w:cs="仿宋_GB2312"/>
          <w:b/>
          <w:bCs/>
          <w:kern w:val="0"/>
          <w:sz w:val="28"/>
          <w:szCs w:val="28"/>
        </w:rPr>
        <w:t>第二十五条</w:t>
      </w:r>
      <w:r>
        <w:rPr>
          <w:rFonts w:hint="eastAsia" w:ascii="仿宋_GB2312" w:eastAsia="仿宋_GB2312" w:cs="仿宋_GB2312"/>
          <w:kern w:val="0"/>
          <w:sz w:val="28"/>
          <w:szCs w:val="28"/>
        </w:rPr>
        <w:t>　</w:t>
      </w:r>
      <w:r>
        <w:rPr>
          <w:rFonts w:hint="eastAsia" w:ascii="仿宋_GB2312" w:eastAsia="仿宋_GB2312"/>
          <w:bCs/>
          <w:sz w:val="28"/>
          <w:szCs w:val="28"/>
        </w:rPr>
        <w:t>本协议执行中发生的争议，甲乙双方可以自行协商解决或向中国证券业协会证券纠纷调解中心申请调解，若协商或调解不成，双方同意按以下第</w:t>
      </w:r>
      <w:r>
        <w:rPr>
          <w:rFonts w:hint="eastAsia" w:ascii="仿宋_GB2312" w:eastAsia="仿宋_GB2312"/>
          <w:bCs/>
          <w:sz w:val="28"/>
          <w:szCs w:val="28"/>
          <w:u w:val="single"/>
        </w:rPr>
        <w:t xml:space="preserve">      </w:t>
      </w:r>
      <w:r>
        <w:rPr>
          <w:rFonts w:hint="eastAsia" w:ascii="仿宋_GB2312" w:eastAsia="仿宋_GB2312"/>
          <w:bCs/>
          <w:sz w:val="28"/>
          <w:szCs w:val="28"/>
        </w:rPr>
        <w:t>种方式解决：（如甲方不作选择，即默认为选择2）</w:t>
      </w:r>
    </w:p>
    <w:p>
      <w:pPr>
        <w:spacing w:line="360" w:lineRule="auto"/>
        <w:ind w:firstLine="560" w:firstLineChars="200"/>
        <w:rPr>
          <w:rFonts w:ascii="仿宋_GB2312" w:eastAsia="仿宋_GB2312"/>
          <w:bCs/>
          <w:sz w:val="28"/>
          <w:szCs w:val="28"/>
        </w:rPr>
      </w:pPr>
      <w:r>
        <w:rPr>
          <w:rFonts w:hint="eastAsia" w:ascii="仿宋_GB2312" w:eastAsia="仿宋_GB2312"/>
          <w:bCs/>
          <w:sz w:val="28"/>
          <w:szCs w:val="28"/>
        </w:rPr>
        <w:t>1.提交</w:t>
      </w:r>
      <w:r>
        <w:rPr>
          <w:rFonts w:hint="eastAsia" w:ascii="仿宋_GB2312" w:eastAsia="仿宋_GB2312"/>
          <w:bCs/>
          <w:sz w:val="28"/>
          <w:szCs w:val="28"/>
          <w:u w:val="single"/>
        </w:rPr>
        <w:t xml:space="preserve">           </w:t>
      </w:r>
      <w:r>
        <w:rPr>
          <w:rFonts w:hint="eastAsia" w:ascii="仿宋_GB2312" w:eastAsia="仿宋_GB2312"/>
          <w:bCs/>
          <w:sz w:val="28"/>
          <w:szCs w:val="28"/>
        </w:rPr>
        <w:t>仲裁委员会仲裁;</w:t>
      </w:r>
    </w:p>
    <w:p>
      <w:pPr>
        <w:spacing w:line="360" w:lineRule="auto"/>
        <w:ind w:firstLine="560" w:firstLineChars="200"/>
        <w:rPr>
          <w:rFonts w:ascii="仿宋_GB2312" w:eastAsia="仿宋_GB2312" w:cs="Arial"/>
          <w:b/>
          <w:kern w:val="0"/>
          <w:sz w:val="28"/>
          <w:szCs w:val="28"/>
        </w:rPr>
      </w:pPr>
      <w:r>
        <w:rPr>
          <w:rFonts w:hint="eastAsia" w:ascii="仿宋_GB2312" w:eastAsia="仿宋_GB2312"/>
          <w:bCs/>
          <w:sz w:val="28"/>
          <w:szCs w:val="28"/>
        </w:rPr>
        <w:t>2.向乙方所在地法院提起诉讼。</w:t>
      </w:r>
    </w:p>
    <w:p>
      <w:pPr>
        <w:pStyle w:val="2"/>
        <w:jc w:val="center"/>
        <w:rPr>
          <w:rFonts w:ascii="仿宋_GB2312" w:eastAsia="仿宋_GB2312" w:cs="仿宋_GB2312"/>
          <w:bCs w:val="0"/>
          <w:kern w:val="0"/>
          <w:sz w:val="28"/>
          <w:szCs w:val="28"/>
        </w:rPr>
      </w:pPr>
      <w:bookmarkStart w:id="5" w:name="_Toc357692081"/>
      <w:r>
        <w:rPr>
          <w:rFonts w:hint="eastAsia" w:ascii="仿宋_GB2312" w:eastAsia="仿宋_GB2312" w:cs="仿宋_GB2312"/>
          <w:bCs w:val="0"/>
          <w:kern w:val="0"/>
          <w:sz w:val="28"/>
          <w:szCs w:val="28"/>
        </w:rPr>
        <w:t>第五章　协议的生效、变更和终止</w:t>
      </w:r>
      <w:bookmarkEnd w:id="5"/>
    </w:p>
    <w:p>
      <w:pPr>
        <w:spacing w:line="360" w:lineRule="auto"/>
        <w:ind w:firstLine="562" w:firstLineChars="200"/>
        <w:rPr>
          <w:rFonts w:ascii="仿宋_GB2312" w:eastAsia="仿宋_GB2312" w:cs="Times New Roman"/>
          <w:kern w:val="0"/>
          <w:sz w:val="28"/>
          <w:szCs w:val="28"/>
        </w:rPr>
      </w:pPr>
      <w:r>
        <w:rPr>
          <w:rFonts w:hint="eastAsia" w:ascii="仿宋_GB2312" w:eastAsia="仿宋_GB2312" w:cs="仿宋_GB2312"/>
          <w:b/>
          <w:bCs/>
          <w:kern w:val="0"/>
          <w:sz w:val="28"/>
          <w:szCs w:val="28"/>
        </w:rPr>
        <w:t>第二十六条</w:t>
      </w:r>
      <w:r>
        <w:rPr>
          <w:rFonts w:hint="eastAsia" w:ascii="仿宋_GB2312" w:eastAsia="仿宋_GB2312" w:cs="仿宋_GB2312"/>
          <w:kern w:val="0"/>
          <w:sz w:val="28"/>
          <w:szCs w:val="28"/>
        </w:rPr>
        <w:t>　本协议可采用电子方式或纸质方式签署。</w:t>
      </w:r>
    </w:p>
    <w:p>
      <w:pPr>
        <w:spacing w:line="360" w:lineRule="auto"/>
        <w:ind w:firstLine="560" w:firstLineChars="200"/>
        <w:rPr>
          <w:rFonts w:ascii="仿宋_GB2312" w:eastAsia="仿宋_GB2312" w:cs="Times New Roman"/>
          <w:kern w:val="0"/>
          <w:sz w:val="28"/>
          <w:szCs w:val="28"/>
        </w:rPr>
      </w:pPr>
      <w:r>
        <w:rPr>
          <w:rFonts w:hint="eastAsia" w:ascii="仿宋_GB2312" w:eastAsia="仿宋_GB2312" w:cs="仿宋_GB2312"/>
          <w:kern w:val="0"/>
          <w:sz w:val="28"/>
          <w:szCs w:val="28"/>
        </w:rPr>
        <w:t>采用电子方式签署本协议的，甲方以电子签名方式签署本协议即告生效，甲方电子签名与在纸质合同上手写签名或盖章具有同等法律效力。</w:t>
      </w:r>
    </w:p>
    <w:p>
      <w:pPr>
        <w:spacing w:line="360" w:lineRule="auto"/>
        <w:ind w:firstLine="560" w:firstLineChars="200"/>
        <w:rPr>
          <w:rFonts w:ascii="仿宋_GB2312" w:eastAsia="仿宋_GB2312" w:cs="仿宋_GB2312"/>
          <w:kern w:val="0"/>
          <w:sz w:val="28"/>
          <w:szCs w:val="28"/>
        </w:rPr>
      </w:pPr>
      <w:r>
        <w:rPr>
          <w:rFonts w:hint="eastAsia" w:ascii="仿宋_GB2312" w:eastAsia="仿宋_GB2312" w:cs="仿宋_GB2312"/>
          <w:kern w:val="0"/>
          <w:sz w:val="28"/>
          <w:szCs w:val="28"/>
        </w:rPr>
        <w:t>采用纸质方式签署本协议的，本协议应由双方签字盖章。</w:t>
      </w:r>
    </w:p>
    <w:p>
      <w:pPr>
        <w:spacing w:line="360" w:lineRule="auto"/>
        <w:ind w:firstLine="560" w:firstLineChars="200"/>
        <w:rPr>
          <w:rFonts w:ascii="仿宋_GB2312" w:eastAsia="仿宋_GB2312" w:cs="仿宋_GB2312"/>
          <w:kern w:val="0"/>
          <w:sz w:val="28"/>
          <w:szCs w:val="28"/>
        </w:rPr>
      </w:pPr>
      <w:r>
        <w:rPr>
          <w:rFonts w:hint="eastAsia" w:ascii="仿宋_GB2312" w:eastAsia="仿宋_GB2312" w:cs="仿宋_GB2312"/>
          <w:kern w:val="0"/>
          <w:sz w:val="28"/>
          <w:szCs w:val="28"/>
        </w:rPr>
        <w:t>本协议在以下条件均满足之日起生效：</w:t>
      </w:r>
    </w:p>
    <w:p>
      <w:pPr>
        <w:spacing w:line="360" w:lineRule="auto"/>
        <w:ind w:firstLine="560" w:firstLineChars="200"/>
        <w:rPr>
          <w:rFonts w:ascii="仿宋_GB2312" w:eastAsia="仿宋_GB2312" w:cs="仿宋_GB2312"/>
          <w:kern w:val="0"/>
          <w:sz w:val="28"/>
          <w:szCs w:val="28"/>
        </w:rPr>
      </w:pPr>
      <w:r>
        <w:rPr>
          <w:rFonts w:hint="eastAsia" w:ascii="仿宋_GB2312" w:eastAsia="仿宋_GB2312" w:cs="仿宋_GB2312"/>
          <w:kern w:val="0"/>
          <w:sz w:val="28"/>
          <w:szCs w:val="28"/>
        </w:rPr>
        <w:t xml:space="preserve">（1）如采用纸质方式签署本协议的，则双方均已在本协议上签字盖章；如采用电子方式签署本协议的，则甲方以电子签名方式签署了本协议； </w:t>
      </w:r>
    </w:p>
    <w:p>
      <w:pPr>
        <w:spacing w:line="360" w:lineRule="auto"/>
        <w:ind w:firstLine="560" w:firstLineChars="200"/>
        <w:rPr>
          <w:rFonts w:ascii="仿宋_GB2312" w:eastAsia="仿宋_GB2312" w:cs="仿宋_GB2312"/>
          <w:kern w:val="0"/>
          <w:sz w:val="28"/>
          <w:szCs w:val="28"/>
        </w:rPr>
      </w:pPr>
      <w:r>
        <w:rPr>
          <w:rFonts w:hint="eastAsia" w:ascii="仿宋_GB2312" w:eastAsia="仿宋_GB2312" w:cs="仿宋_GB2312"/>
          <w:kern w:val="0"/>
          <w:sz w:val="28"/>
          <w:szCs w:val="28"/>
        </w:rPr>
        <w:t>（2）甲乙双方已签署了《证券公司客户账户开户协议》，且《证券公司客户账户开户协议》</w:t>
      </w:r>
      <w:r>
        <w:rPr>
          <w:rFonts w:hint="eastAsia" w:ascii="仿宋_GB2312" w:eastAsia="仿宋_GB2312"/>
          <w:sz w:val="28"/>
          <w:szCs w:val="28"/>
        </w:rPr>
        <w:t>已生效。</w:t>
      </w:r>
    </w:p>
    <w:p>
      <w:pPr>
        <w:spacing w:line="360" w:lineRule="auto"/>
        <w:ind w:firstLine="560" w:firstLineChars="200"/>
        <w:rPr>
          <w:rFonts w:ascii="仿宋_GB2312" w:eastAsia="仿宋_GB2312" w:cs="仿宋_GB2312"/>
          <w:kern w:val="0"/>
          <w:sz w:val="28"/>
          <w:szCs w:val="28"/>
        </w:rPr>
      </w:pPr>
      <w:r>
        <w:rPr>
          <w:rFonts w:hint="eastAsia" w:ascii="仿宋_GB2312" w:eastAsia="仿宋_GB2312" w:cs="仿宋_GB2312"/>
          <w:kern w:val="0"/>
          <w:sz w:val="28"/>
          <w:szCs w:val="28"/>
        </w:rPr>
        <w:t>本协议一式两份，甲乙双方各执一份，每份具有同等的法律效力。</w:t>
      </w:r>
    </w:p>
    <w:p>
      <w:pPr>
        <w:spacing w:line="360" w:lineRule="auto"/>
        <w:ind w:firstLine="562" w:firstLineChars="200"/>
        <w:rPr>
          <w:rFonts w:ascii="仿宋_GB2312" w:eastAsia="仿宋_GB2312" w:cs="Times New Roman"/>
          <w:kern w:val="0"/>
          <w:sz w:val="28"/>
          <w:szCs w:val="28"/>
        </w:rPr>
      </w:pPr>
      <w:r>
        <w:rPr>
          <w:rFonts w:hint="eastAsia" w:ascii="仿宋_GB2312" w:eastAsia="仿宋_GB2312" w:cs="仿宋_GB2312"/>
          <w:b/>
          <w:bCs/>
          <w:kern w:val="0"/>
          <w:sz w:val="28"/>
          <w:szCs w:val="28"/>
        </w:rPr>
        <w:t>第二十七条</w:t>
      </w:r>
      <w:r>
        <w:rPr>
          <w:rFonts w:hint="eastAsia" w:ascii="仿宋_GB2312" w:eastAsia="仿宋_GB2312" w:cs="仿宋_GB2312"/>
          <w:kern w:val="0"/>
          <w:sz w:val="28"/>
          <w:szCs w:val="28"/>
        </w:rPr>
        <w:t>　</w:t>
      </w:r>
      <w:r>
        <w:rPr>
          <w:rFonts w:hint="eastAsia" w:ascii="仿宋_GB2312" w:eastAsia="仿宋_GB2312" w:cs="Arial"/>
          <w:kern w:val="0"/>
          <w:sz w:val="28"/>
          <w:szCs w:val="28"/>
        </w:rPr>
        <w:t>本协议签署并生效后</w:t>
      </w:r>
      <w:r>
        <w:rPr>
          <w:rFonts w:hint="eastAsia" w:ascii="仿宋_GB2312" w:eastAsia="仿宋_GB2312" w:cs="仿宋_GB2312"/>
          <w:kern w:val="0"/>
          <w:sz w:val="28"/>
          <w:szCs w:val="28"/>
        </w:rPr>
        <w:t>，</w:t>
      </w:r>
      <w:r>
        <w:rPr>
          <w:rFonts w:hint="eastAsia" w:ascii="仿宋_GB2312" w:eastAsia="仿宋_GB2312" w:cs="Arial"/>
          <w:kern w:val="0"/>
          <w:sz w:val="28"/>
          <w:szCs w:val="28"/>
        </w:rPr>
        <w:t>若有关法律、法规、规章、规范性文件、自律规则、证券登记结算机构业务规则以及证券交易所交易规则修订，本协议相关条款与其中强制性规定发生冲突的，按新修订的法律、法规、规章、规范性文件、自律规则、业务规则及交易规则办理，但本协议其他内容及条款继续有效。</w:t>
      </w:r>
    </w:p>
    <w:p>
      <w:pPr>
        <w:spacing w:line="360" w:lineRule="auto"/>
        <w:ind w:firstLine="562" w:firstLineChars="200"/>
        <w:rPr>
          <w:rFonts w:ascii="仿宋_GB2312" w:eastAsia="仿宋_GB2312" w:cs="仿宋_GB2312"/>
          <w:kern w:val="0"/>
          <w:sz w:val="28"/>
          <w:szCs w:val="28"/>
        </w:rPr>
      </w:pPr>
      <w:r>
        <w:rPr>
          <w:rFonts w:hint="eastAsia" w:ascii="仿宋_GB2312" w:eastAsia="仿宋_GB2312" w:cs="仿宋_GB2312"/>
          <w:b/>
          <w:bCs/>
          <w:kern w:val="0"/>
          <w:sz w:val="28"/>
          <w:szCs w:val="28"/>
        </w:rPr>
        <w:t>第二十八条</w:t>
      </w:r>
      <w:r>
        <w:rPr>
          <w:rFonts w:hint="eastAsia" w:ascii="仿宋_GB2312" w:eastAsia="仿宋_GB2312" w:cs="仿宋_GB2312"/>
          <w:kern w:val="0"/>
          <w:sz w:val="28"/>
          <w:szCs w:val="28"/>
        </w:rPr>
        <w:t>　本协议签署并生效后，若前款所述法律、法规等规范性文件发生修订，本协议相关条款与其中规定存在差异，乙方认为应据此修改或变更本协议的，有关内容将由乙方在其经营场所或网站以公告方式通知甲方，若甲方在七个交易日内不提出异议，则公告内容生效，并成为本协议组成部分，</w:t>
      </w:r>
      <w:r>
        <w:rPr>
          <w:rFonts w:hint="eastAsia" w:ascii="仿宋_GB2312" w:eastAsia="仿宋_GB2312" w:cs="Arial"/>
          <w:kern w:val="0"/>
          <w:sz w:val="28"/>
          <w:szCs w:val="28"/>
        </w:rPr>
        <w:t>对甲乙双方均具有法律约束力</w:t>
      </w:r>
      <w:r>
        <w:rPr>
          <w:rFonts w:hint="eastAsia" w:ascii="仿宋_GB2312" w:eastAsia="仿宋_GB2312" w:cs="仿宋_GB2312"/>
          <w:kern w:val="0"/>
          <w:sz w:val="28"/>
          <w:szCs w:val="28"/>
        </w:rPr>
        <w:t>。</w:t>
      </w:r>
    </w:p>
    <w:p>
      <w:pPr>
        <w:spacing w:line="360" w:lineRule="auto"/>
        <w:ind w:left="1127" w:leftChars="202" w:hanging="703" w:hangingChars="250"/>
        <w:rPr>
          <w:rFonts w:ascii="仿宋_GB2312" w:eastAsia="仿宋_GB2312"/>
          <w:bCs/>
          <w:sz w:val="28"/>
          <w:szCs w:val="28"/>
          <w:u w:val="single"/>
        </w:rPr>
      </w:pPr>
      <w:r>
        <w:rPr>
          <w:rFonts w:hint="eastAsia" w:ascii="仿宋_GB2312" w:eastAsia="仿宋_GB2312" w:cs="仿宋_GB2312"/>
          <w:b/>
          <w:bCs/>
          <w:kern w:val="0"/>
          <w:sz w:val="28"/>
          <w:szCs w:val="28"/>
        </w:rPr>
        <w:t xml:space="preserve"> 第二十九条  </w:t>
      </w:r>
      <w:r>
        <w:rPr>
          <w:rFonts w:hint="eastAsia" w:ascii="仿宋_GB2312" w:eastAsia="仿宋_GB2312" w:cs="仿宋_GB2312"/>
          <w:kern w:val="0"/>
          <w:sz w:val="28"/>
          <w:szCs w:val="28"/>
        </w:rPr>
        <w:t>甲乙双方约定撤销指定交易、证券资产转托管按</w:t>
      </w:r>
    </w:p>
    <w:p>
      <w:pPr>
        <w:spacing w:line="360" w:lineRule="auto"/>
        <w:rPr>
          <w:rFonts w:ascii="仿宋_GB2312" w:eastAsia="仿宋_GB2312" w:cs="仿宋_GB2312"/>
          <w:b/>
          <w:bCs/>
          <w:kern w:val="0"/>
          <w:sz w:val="28"/>
          <w:szCs w:val="28"/>
        </w:rPr>
      </w:pPr>
      <w:r>
        <w:rPr>
          <w:rFonts w:hint="eastAsia" w:ascii="仿宋_GB2312" w:eastAsia="仿宋_GB2312"/>
          <w:bCs/>
          <w:sz w:val="28"/>
          <w:szCs w:val="28"/>
          <w:u w:val="single"/>
        </w:rPr>
        <w:t xml:space="preserve">           </w:t>
      </w:r>
      <w:r>
        <w:rPr>
          <w:rFonts w:hint="eastAsia" w:ascii="仿宋_GB2312" w:eastAsia="仿宋_GB2312"/>
          <w:bCs/>
          <w:sz w:val="28"/>
          <w:szCs w:val="28"/>
        </w:rPr>
        <w:t>方式办理。</w:t>
      </w:r>
    </w:p>
    <w:p>
      <w:pPr>
        <w:spacing w:line="360" w:lineRule="auto"/>
        <w:ind w:firstLine="568" w:firstLineChars="202"/>
        <w:rPr>
          <w:rFonts w:ascii="仿宋_GB2312" w:eastAsia="仿宋_GB2312" w:cs="Times New Roman"/>
          <w:kern w:val="0"/>
          <w:sz w:val="28"/>
          <w:szCs w:val="28"/>
        </w:rPr>
      </w:pPr>
      <w:r>
        <w:rPr>
          <w:rFonts w:hint="eastAsia" w:ascii="仿宋_GB2312" w:eastAsia="仿宋_GB2312" w:cs="仿宋_GB2312"/>
          <w:b/>
          <w:bCs/>
          <w:kern w:val="0"/>
          <w:sz w:val="28"/>
          <w:szCs w:val="28"/>
        </w:rPr>
        <w:t>第三十条</w:t>
      </w:r>
      <w:r>
        <w:rPr>
          <w:rFonts w:hint="eastAsia" w:ascii="仿宋_GB2312" w:eastAsia="仿宋_GB2312" w:cs="仿宋_GB2312"/>
          <w:kern w:val="0"/>
          <w:sz w:val="28"/>
          <w:szCs w:val="28"/>
        </w:rPr>
        <w:t>　乙方应及时为甲方办理撤销指定交易、证券资产转托管业务，但甲方账户存在如下情形之一的除外：</w:t>
      </w:r>
    </w:p>
    <w:p>
      <w:pPr>
        <w:spacing w:line="360" w:lineRule="auto"/>
        <w:ind w:firstLine="565" w:firstLineChars="202"/>
        <w:rPr>
          <w:rFonts w:ascii="仿宋_GB2312" w:eastAsia="仿宋_GB2312" w:cs="仿宋_GB2312"/>
          <w:kern w:val="0"/>
          <w:sz w:val="28"/>
          <w:szCs w:val="28"/>
        </w:rPr>
      </w:pPr>
      <w:r>
        <w:rPr>
          <w:rFonts w:ascii="仿宋_GB2312" w:eastAsia="仿宋_GB2312" w:cs="仿宋_GB2312"/>
          <w:kern w:val="0"/>
          <w:sz w:val="28"/>
          <w:szCs w:val="28"/>
        </w:rPr>
        <w:t>1</w:t>
      </w:r>
      <w:r>
        <w:rPr>
          <w:rFonts w:hint="eastAsia" w:ascii="仿宋_GB2312" w:eastAsia="仿宋_GB2312" w:cs="仿宋_GB2312"/>
          <w:kern w:val="0"/>
          <w:sz w:val="28"/>
          <w:szCs w:val="28"/>
        </w:rPr>
        <w:t>.甲方账户为不合格账户、休眠账户的；</w:t>
      </w:r>
    </w:p>
    <w:p>
      <w:pPr>
        <w:spacing w:line="360" w:lineRule="auto"/>
        <w:ind w:firstLine="565" w:firstLineChars="202"/>
        <w:rPr>
          <w:rFonts w:ascii="仿宋_GB2312" w:eastAsia="仿宋_GB2312" w:cs="仿宋_GB2312"/>
          <w:kern w:val="0"/>
          <w:sz w:val="28"/>
          <w:szCs w:val="28"/>
        </w:rPr>
      </w:pPr>
      <w:r>
        <w:rPr>
          <w:rFonts w:hint="eastAsia" w:ascii="仿宋_GB2312" w:eastAsia="仿宋_GB2312" w:cs="仿宋_GB2312"/>
          <w:kern w:val="0"/>
          <w:sz w:val="28"/>
          <w:szCs w:val="28"/>
        </w:rPr>
        <w:t>2.甲方账户上存在未完成清算或交收的；</w:t>
      </w:r>
    </w:p>
    <w:p>
      <w:pPr>
        <w:spacing w:line="360" w:lineRule="auto"/>
        <w:ind w:firstLine="565" w:firstLineChars="202"/>
        <w:rPr>
          <w:rFonts w:ascii="仿宋_GB2312" w:eastAsia="仿宋_GB2312" w:cs="Times New Roman"/>
          <w:kern w:val="0"/>
          <w:sz w:val="28"/>
          <w:szCs w:val="28"/>
        </w:rPr>
      </w:pPr>
      <w:r>
        <w:rPr>
          <w:rFonts w:hint="eastAsia" w:ascii="仿宋_GB2312" w:eastAsia="仿宋_GB2312" w:cs="仿宋_GB2312"/>
          <w:kern w:val="0"/>
          <w:sz w:val="28"/>
          <w:szCs w:val="28"/>
        </w:rPr>
        <w:t>3.甲方账户上存在未了结债权债务的；</w:t>
      </w:r>
    </w:p>
    <w:p>
      <w:pPr>
        <w:spacing w:line="360" w:lineRule="auto"/>
        <w:ind w:firstLine="565" w:firstLineChars="202"/>
        <w:rPr>
          <w:rFonts w:ascii="仿宋_GB2312" w:eastAsia="仿宋_GB2312" w:cs="Times New Roman"/>
          <w:kern w:val="0"/>
          <w:sz w:val="28"/>
          <w:szCs w:val="28"/>
        </w:rPr>
      </w:pPr>
      <w:r>
        <w:rPr>
          <w:rFonts w:hint="eastAsia" w:ascii="仿宋_GB2312" w:eastAsia="仿宋_GB2312" w:cs="仿宋_GB2312"/>
          <w:kern w:val="0"/>
          <w:sz w:val="28"/>
          <w:szCs w:val="28"/>
        </w:rPr>
        <w:t>4.甲方账户为异常状态（如司法冻结等情形）的；</w:t>
      </w:r>
    </w:p>
    <w:p>
      <w:pPr>
        <w:spacing w:line="336" w:lineRule="auto"/>
        <w:ind w:firstLine="560" w:firstLineChars="200"/>
        <w:rPr>
          <w:rFonts w:ascii="仿宋_GB2312" w:eastAsia="仿宋_GB2312" w:cs="仿宋_GB2312"/>
          <w:b/>
          <w:bCs/>
          <w:kern w:val="0"/>
          <w:sz w:val="28"/>
          <w:szCs w:val="28"/>
        </w:rPr>
      </w:pPr>
      <w:r>
        <w:rPr>
          <w:rFonts w:hint="eastAsia" w:ascii="仿宋_GB2312" w:eastAsia="仿宋_GB2312" w:cs="仿宋_GB2312"/>
          <w:kern w:val="0"/>
          <w:sz w:val="28"/>
          <w:szCs w:val="28"/>
        </w:rPr>
        <w:t>5.相关法律法规、证券登记结算机构业务规则和证券交易所交易规则规定的或者甲乙双方约定的其他情形的。</w:t>
      </w:r>
    </w:p>
    <w:p>
      <w:pPr>
        <w:spacing w:line="360" w:lineRule="auto"/>
        <w:ind w:firstLine="562" w:firstLineChars="200"/>
        <w:rPr>
          <w:rFonts w:ascii="仿宋_GB2312" w:eastAsia="仿宋_GB2312"/>
          <w:sz w:val="28"/>
          <w:szCs w:val="28"/>
        </w:rPr>
      </w:pPr>
      <w:r>
        <w:rPr>
          <w:rFonts w:hint="eastAsia" w:ascii="仿宋_GB2312" w:eastAsia="仿宋_GB2312" w:cs="仿宋_GB2312"/>
          <w:b/>
          <w:bCs/>
          <w:kern w:val="0"/>
          <w:sz w:val="28"/>
          <w:szCs w:val="28"/>
        </w:rPr>
        <w:t>第三十一条</w:t>
      </w:r>
      <w:r>
        <w:rPr>
          <w:rFonts w:hint="eastAsia" w:ascii="仿宋_GB2312" w:eastAsia="仿宋_GB2312"/>
          <w:sz w:val="28"/>
          <w:szCs w:val="28"/>
        </w:rPr>
        <w:t xml:space="preserve">  甲乙双方签署的《证券公司客户账户开户协议》终止或依照相关约定或相关法律法规的规定提前解除时,本协议自动终止</w:t>
      </w:r>
      <w:r>
        <w:rPr>
          <w:rFonts w:hint="eastAsia" w:ascii="仿宋_GB2312" w:eastAsia="仿宋_GB2312" w:cs="仿宋_GB2312"/>
          <w:kern w:val="0"/>
          <w:sz w:val="28"/>
          <w:szCs w:val="28"/>
        </w:rPr>
        <w:t>。</w:t>
      </w:r>
    </w:p>
    <w:p>
      <w:pPr>
        <w:pStyle w:val="2"/>
        <w:jc w:val="center"/>
        <w:rPr>
          <w:rFonts w:ascii="仿宋_GB2312" w:eastAsia="仿宋_GB2312" w:cs="仿宋_GB2312"/>
          <w:bCs w:val="0"/>
          <w:kern w:val="0"/>
          <w:sz w:val="28"/>
          <w:szCs w:val="28"/>
        </w:rPr>
      </w:pPr>
      <w:bookmarkStart w:id="6" w:name="_Toc357692082"/>
      <w:r>
        <w:rPr>
          <w:rFonts w:hint="eastAsia" w:ascii="仿宋_GB2312" w:eastAsia="仿宋_GB2312" w:cs="仿宋_GB2312"/>
          <w:bCs w:val="0"/>
          <w:kern w:val="0"/>
          <w:sz w:val="28"/>
          <w:szCs w:val="28"/>
        </w:rPr>
        <w:t>第六章　附 则</w:t>
      </w:r>
      <w:bookmarkEnd w:id="6"/>
    </w:p>
    <w:p>
      <w:pPr>
        <w:spacing w:line="336" w:lineRule="auto"/>
        <w:ind w:firstLine="562" w:firstLineChars="200"/>
        <w:rPr>
          <w:rFonts w:ascii="仿宋_GB2312" w:eastAsia="仿宋_GB2312" w:cs="Times New Roman"/>
          <w:kern w:val="0"/>
          <w:sz w:val="28"/>
          <w:szCs w:val="28"/>
        </w:rPr>
      </w:pPr>
      <w:r>
        <w:rPr>
          <w:rFonts w:hint="eastAsia" w:ascii="仿宋_GB2312" w:eastAsia="仿宋_GB2312" w:cs="仿宋_GB2312"/>
          <w:b/>
          <w:bCs/>
          <w:kern w:val="0"/>
          <w:sz w:val="28"/>
          <w:szCs w:val="28"/>
        </w:rPr>
        <w:t>第三十二条</w:t>
      </w:r>
      <w:r>
        <w:rPr>
          <w:rFonts w:hint="eastAsia" w:ascii="仿宋_GB2312" w:eastAsia="仿宋_GB2312" w:cs="Times New Roman"/>
          <w:kern w:val="0"/>
          <w:sz w:val="28"/>
          <w:szCs w:val="28"/>
        </w:rPr>
        <w:t xml:space="preserve">  甲方委托乙方代理其他金融产品交易及其他相关事务的，如</w:t>
      </w:r>
      <w:r>
        <w:rPr>
          <w:rFonts w:hint="eastAsia" w:ascii="仿宋_GB2312" w:eastAsia="仿宋_GB2312"/>
          <w:kern w:val="0"/>
          <w:sz w:val="28"/>
          <w:szCs w:val="28"/>
        </w:rPr>
        <w:t>未另有协议约定，则</w:t>
      </w:r>
      <w:r>
        <w:rPr>
          <w:rFonts w:hint="eastAsia" w:ascii="仿宋_GB2312" w:eastAsia="仿宋_GB2312" w:cs="Times New Roman"/>
          <w:kern w:val="0"/>
          <w:sz w:val="28"/>
          <w:szCs w:val="28"/>
        </w:rPr>
        <w:t>参照本协议约定执行。</w:t>
      </w:r>
    </w:p>
    <w:p>
      <w:pPr>
        <w:spacing w:line="336" w:lineRule="auto"/>
        <w:ind w:firstLine="562" w:firstLineChars="200"/>
        <w:rPr>
          <w:rFonts w:ascii="仿宋_GB2312" w:eastAsia="仿宋_GB2312" w:cs="Times New Roman"/>
          <w:kern w:val="0"/>
          <w:sz w:val="28"/>
          <w:szCs w:val="28"/>
        </w:rPr>
      </w:pPr>
      <w:r>
        <w:rPr>
          <w:rFonts w:hint="eastAsia" w:ascii="仿宋_GB2312" w:eastAsia="仿宋_GB2312" w:cs="仿宋_GB2312"/>
          <w:b/>
          <w:bCs/>
          <w:kern w:val="0"/>
          <w:sz w:val="28"/>
          <w:szCs w:val="28"/>
        </w:rPr>
        <w:t>第三十三条</w:t>
      </w:r>
      <w:r>
        <w:rPr>
          <w:rFonts w:hint="eastAsia" w:ascii="仿宋_GB2312" w:eastAsia="仿宋_GB2312" w:cs="Times New Roman"/>
          <w:kern w:val="0"/>
          <w:sz w:val="28"/>
          <w:szCs w:val="28"/>
        </w:rPr>
        <w:t xml:space="preserve">  本协议未作约定的，参照《证券公司客户账户开户协议》的约定执行。</w:t>
      </w:r>
    </w:p>
    <w:p>
      <w:pPr>
        <w:tabs>
          <w:tab w:val="left" w:pos="2282"/>
        </w:tabs>
        <w:rPr>
          <w:rFonts w:ascii="仿宋_GB2312" w:eastAsia="仿宋_GB2312"/>
          <w:sz w:val="28"/>
          <w:szCs w:val="28"/>
        </w:rPr>
      </w:pPr>
    </w:p>
    <w:p>
      <w:pPr>
        <w:tabs>
          <w:tab w:val="left" w:pos="2282"/>
        </w:tabs>
        <w:rPr>
          <w:rFonts w:ascii="仿宋_GB2312" w:eastAsia="仿宋_GB2312"/>
          <w:sz w:val="28"/>
          <w:szCs w:val="28"/>
        </w:rPr>
      </w:pPr>
    </w:p>
    <w:p>
      <w:pPr>
        <w:tabs>
          <w:tab w:val="left" w:pos="2282"/>
        </w:tabs>
        <w:rPr>
          <w:rFonts w:ascii="仿宋_GB2312" w:eastAsia="仿宋_GB2312"/>
          <w:sz w:val="28"/>
          <w:szCs w:val="28"/>
        </w:rPr>
      </w:pPr>
    </w:p>
    <w:p>
      <w:pPr>
        <w:tabs>
          <w:tab w:val="left" w:pos="2282"/>
        </w:tabs>
        <w:rPr>
          <w:rFonts w:ascii="仿宋_GB2312" w:eastAsia="仿宋_GB2312"/>
          <w:sz w:val="28"/>
          <w:szCs w:val="28"/>
        </w:rPr>
      </w:pPr>
    </w:p>
    <w:p>
      <w:pPr>
        <w:tabs>
          <w:tab w:val="left" w:pos="2282"/>
        </w:tabs>
        <w:rPr>
          <w:rFonts w:ascii="仿宋_GB2312" w:eastAsia="仿宋_GB2312" w:cs="仿宋_GB2312"/>
          <w:sz w:val="28"/>
          <w:szCs w:val="28"/>
        </w:rPr>
      </w:pPr>
      <w:r>
        <w:rPr>
          <w:rFonts w:hint="eastAsia" w:ascii="仿宋_GB2312" w:eastAsia="仿宋_GB2312" w:cs="仿宋_GB2312"/>
          <w:sz w:val="28"/>
          <w:szCs w:val="28"/>
        </w:rPr>
        <w:t>甲方（个人签字</w:t>
      </w:r>
      <w:r>
        <w:rPr>
          <w:rFonts w:ascii="仿宋_GB2312" w:eastAsia="仿宋_GB2312" w:cs="仿宋_GB2312"/>
          <w:sz w:val="28"/>
          <w:szCs w:val="28"/>
        </w:rPr>
        <w:t>/</w:t>
      </w:r>
      <w:r>
        <w:rPr>
          <w:rFonts w:hint="eastAsia" w:ascii="仿宋_GB2312" w:eastAsia="仿宋_GB2312" w:cs="仿宋_GB2312"/>
          <w:sz w:val="28"/>
          <w:szCs w:val="28"/>
        </w:rPr>
        <w:t>机构盖章）：</w:t>
      </w:r>
      <w:r>
        <w:rPr>
          <w:rFonts w:ascii="仿宋_GB2312" w:eastAsia="仿宋_GB2312" w:cs="仿宋_GB2312"/>
          <w:sz w:val="28"/>
          <w:szCs w:val="28"/>
        </w:rPr>
        <w:t xml:space="preserve">            </w:t>
      </w:r>
      <w:r>
        <w:rPr>
          <w:rFonts w:hint="eastAsia" w:ascii="仿宋_GB2312" w:eastAsia="仿宋_GB2312" w:cs="仿宋_GB2312"/>
          <w:sz w:val="28"/>
          <w:szCs w:val="28"/>
        </w:rPr>
        <w:t>乙方（签章）：</w:t>
      </w:r>
      <w:r>
        <w:rPr>
          <w:rFonts w:ascii="仿宋_GB2312" w:eastAsia="仿宋_GB2312" w:cs="仿宋_GB2312"/>
          <w:sz w:val="28"/>
          <w:szCs w:val="28"/>
        </w:rPr>
        <w:t xml:space="preserve"> </w:t>
      </w:r>
    </w:p>
    <w:p>
      <w:pPr>
        <w:tabs>
          <w:tab w:val="left" w:pos="2282"/>
        </w:tabs>
        <w:rPr>
          <w:rFonts w:ascii="仿宋_GB2312" w:eastAsia="仿宋_GB2312" w:cs="Times New Roman"/>
          <w:sz w:val="28"/>
          <w:szCs w:val="28"/>
        </w:rPr>
      </w:pPr>
      <w:r>
        <w:rPr>
          <w:rFonts w:hint="eastAsia" w:ascii="仿宋_GB2312" w:hAnsi="宋体" w:eastAsia="仿宋_GB2312"/>
          <w:sz w:val="28"/>
          <w:szCs w:val="28"/>
        </w:rPr>
        <w:t>机构经办人（签字）：</w:t>
      </w:r>
      <w:r>
        <w:rPr>
          <w:rFonts w:hint="eastAsia" w:ascii="仿宋_GB2312" w:eastAsia="仿宋_GB2312"/>
          <w:sz w:val="28"/>
          <w:szCs w:val="28"/>
        </w:rPr>
        <w:t xml:space="preserve">                 乙方经办人（签章）：</w:t>
      </w:r>
      <w:r>
        <w:rPr>
          <w:rFonts w:ascii="仿宋_GB2312" w:eastAsia="仿宋_GB2312" w:cs="仿宋_GB2312"/>
          <w:sz w:val="28"/>
          <w:szCs w:val="28"/>
        </w:rPr>
        <w:t xml:space="preserve"> </w:t>
      </w:r>
    </w:p>
    <w:p>
      <w:pPr>
        <w:tabs>
          <w:tab w:val="left" w:pos="2282"/>
        </w:tabs>
        <w:rPr>
          <w:rFonts w:ascii="仿宋_GB2312" w:eastAsia="仿宋_GB2312" w:cs="仿宋_GB2312"/>
          <w:sz w:val="28"/>
          <w:szCs w:val="28"/>
        </w:rPr>
      </w:pPr>
      <w:r>
        <w:rPr>
          <w:rFonts w:hint="eastAsia" w:ascii="仿宋_GB2312" w:eastAsia="仿宋_GB2312" w:cs="仿宋_GB2312"/>
          <w:sz w:val="28"/>
          <w:szCs w:val="28"/>
        </w:rPr>
        <w:t>签署日期：</w:t>
      </w:r>
      <w:r>
        <w:rPr>
          <w:rFonts w:ascii="仿宋_GB2312" w:eastAsia="仿宋_GB2312" w:cs="仿宋_GB2312"/>
          <w:sz w:val="28"/>
          <w:szCs w:val="28"/>
        </w:rPr>
        <w:t xml:space="preserve">   </w:t>
      </w:r>
      <w:r>
        <w:rPr>
          <w:rFonts w:hint="eastAsia" w:ascii="仿宋_GB2312" w:eastAsia="仿宋_GB2312" w:cs="仿宋_GB2312"/>
          <w:sz w:val="28"/>
          <w:szCs w:val="28"/>
        </w:rPr>
        <w:t>年</w:t>
      </w:r>
      <w:r>
        <w:rPr>
          <w:rFonts w:ascii="仿宋_GB2312" w:eastAsia="仿宋_GB2312" w:cs="仿宋_GB2312"/>
          <w:sz w:val="28"/>
          <w:szCs w:val="28"/>
        </w:rPr>
        <w:t xml:space="preserve">  </w:t>
      </w:r>
      <w:r>
        <w:rPr>
          <w:rFonts w:hint="eastAsia" w:ascii="仿宋_GB2312" w:eastAsia="仿宋_GB2312" w:cs="仿宋_GB2312"/>
          <w:sz w:val="28"/>
          <w:szCs w:val="28"/>
        </w:rPr>
        <w:t>月</w:t>
      </w:r>
      <w:r>
        <w:rPr>
          <w:rFonts w:ascii="仿宋_GB2312" w:eastAsia="仿宋_GB2312" w:cs="仿宋_GB2312"/>
          <w:sz w:val="28"/>
          <w:szCs w:val="28"/>
        </w:rPr>
        <w:t xml:space="preserve">  </w:t>
      </w:r>
      <w:r>
        <w:rPr>
          <w:rFonts w:hint="eastAsia" w:ascii="仿宋_GB2312" w:eastAsia="仿宋_GB2312" w:cs="仿宋_GB2312"/>
          <w:sz w:val="28"/>
          <w:szCs w:val="28"/>
        </w:rPr>
        <w:t>日</w:t>
      </w:r>
      <w:r>
        <w:rPr>
          <w:rFonts w:ascii="仿宋_GB2312" w:eastAsia="仿宋_GB2312" w:cs="仿宋_GB2312"/>
          <w:sz w:val="28"/>
          <w:szCs w:val="28"/>
        </w:rPr>
        <w:t xml:space="preserve">          </w:t>
      </w:r>
      <w:r>
        <w:rPr>
          <w:rFonts w:hint="eastAsia" w:ascii="仿宋_GB2312" w:eastAsia="仿宋_GB2312" w:cs="仿宋_GB2312"/>
          <w:sz w:val="28"/>
          <w:szCs w:val="28"/>
        </w:rPr>
        <w:t xml:space="preserve"> 签署日期：</w:t>
      </w:r>
      <w:r>
        <w:rPr>
          <w:rFonts w:ascii="仿宋_GB2312" w:eastAsia="仿宋_GB2312" w:cs="仿宋_GB2312"/>
          <w:sz w:val="28"/>
          <w:szCs w:val="28"/>
        </w:rPr>
        <w:t xml:space="preserve">  </w:t>
      </w:r>
      <w:r>
        <w:rPr>
          <w:rFonts w:hint="eastAsia" w:ascii="仿宋_GB2312" w:eastAsia="仿宋_GB2312" w:cs="仿宋_GB2312"/>
          <w:sz w:val="28"/>
          <w:szCs w:val="28"/>
        </w:rPr>
        <w:t>年</w:t>
      </w:r>
      <w:r>
        <w:rPr>
          <w:rFonts w:ascii="仿宋_GB2312" w:eastAsia="仿宋_GB2312" w:cs="仿宋_GB2312"/>
          <w:sz w:val="28"/>
          <w:szCs w:val="28"/>
        </w:rPr>
        <w:t xml:space="preserve">  </w:t>
      </w:r>
      <w:r>
        <w:rPr>
          <w:rFonts w:hint="eastAsia" w:ascii="仿宋_GB2312" w:eastAsia="仿宋_GB2312" w:cs="仿宋_GB2312"/>
          <w:sz w:val="28"/>
          <w:szCs w:val="28"/>
        </w:rPr>
        <w:t>月</w:t>
      </w:r>
      <w:r>
        <w:rPr>
          <w:rFonts w:ascii="仿宋_GB2312" w:eastAsia="仿宋_GB2312" w:cs="仿宋_GB2312"/>
          <w:sz w:val="28"/>
          <w:szCs w:val="28"/>
        </w:rPr>
        <w:t xml:space="preserve">  </w:t>
      </w:r>
      <w:r>
        <w:rPr>
          <w:rFonts w:hint="eastAsia" w:ascii="仿宋_GB2312" w:eastAsia="仿宋_GB2312" w:cs="仿宋_GB2312"/>
          <w:sz w:val="28"/>
          <w:szCs w:val="28"/>
        </w:rPr>
        <w:t>日</w:t>
      </w:r>
    </w:p>
    <w:p>
      <w:pPr>
        <w:widowControl/>
        <w:spacing w:before="100" w:beforeAutospacing="1" w:after="100" w:afterAutospacing="1" w:line="336" w:lineRule="auto"/>
        <w:rPr>
          <w:rFonts w:ascii="仿宋_GB2312" w:hAnsi="仿宋_GB2312" w:eastAsia="仿宋_GB2312" w:cs="黑体"/>
          <w:bCs/>
          <w:sz w:val="32"/>
          <w:szCs w:val="32"/>
        </w:rPr>
      </w:pPr>
      <w:r>
        <w:rPr>
          <w:rFonts w:ascii="仿宋_GB2312" w:hAnsi="仿宋_GB2312" w:eastAsia="仿宋_GB2312" w:cs="黑体"/>
          <w:bCs/>
          <w:sz w:val="32"/>
          <w:szCs w:val="32"/>
        </w:rPr>
        <w:br w:type="page"/>
      </w:r>
      <w:r>
        <w:rPr>
          <w:rFonts w:hint="eastAsia" w:ascii="仿宋_GB2312" w:hAnsi="仿宋_GB2312" w:eastAsia="仿宋_GB2312" w:cs="黑体"/>
          <w:bCs/>
          <w:sz w:val="32"/>
          <w:szCs w:val="32"/>
        </w:rPr>
        <w:t>附件1</w:t>
      </w:r>
    </w:p>
    <w:p>
      <w:pPr>
        <w:widowControl/>
        <w:spacing w:before="100" w:beforeAutospacing="1" w:after="100" w:afterAutospacing="1" w:line="336" w:lineRule="auto"/>
        <w:jc w:val="center"/>
        <w:rPr>
          <w:rFonts w:ascii="华文中宋" w:hAnsi="华文中宋" w:eastAsia="华文中宋" w:cs="Arial"/>
          <w:b/>
          <w:kern w:val="0"/>
          <w:sz w:val="36"/>
          <w:szCs w:val="36"/>
        </w:rPr>
      </w:pPr>
      <w:r>
        <w:rPr>
          <w:rFonts w:hint="eastAsia" w:ascii="华文中宋" w:hAnsi="华文中宋" w:eastAsia="华文中宋" w:cs="黑体"/>
          <w:b/>
          <w:bCs/>
          <w:kern w:val="0"/>
          <w:sz w:val="36"/>
          <w:szCs w:val="36"/>
        </w:rPr>
        <w:t>证券交易委托风险揭示书</w:t>
      </w:r>
    </w:p>
    <w:p>
      <w:pPr>
        <w:widowControl/>
        <w:adjustRightInd w:val="0"/>
        <w:snapToGrid w:val="0"/>
        <w:spacing w:line="360" w:lineRule="auto"/>
        <w:jc w:val="left"/>
        <w:rPr>
          <w:rFonts w:ascii="仿宋_GB2312" w:eastAsia="仿宋_GB2312" w:cs="黑体"/>
          <w:bCs/>
          <w:kern w:val="0"/>
          <w:sz w:val="28"/>
          <w:szCs w:val="28"/>
        </w:rPr>
      </w:pPr>
      <w:r>
        <w:rPr>
          <w:rFonts w:hint="eastAsia" w:ascii="仿宋_GB2312" w:eastAsia="仿宋_GB2312" w:cs="黑体"/>
          <w:bCs/>
          <w:kern w:val="0"/>
          <w:sz w:val="28"/>
          <w:szCs w:val="28"/>
        </w:rPr>
        <w:t xml:space="preserve">尊敬的投资者： </w:t>
      </w:r>
    </w:p>
    <w:p>
      <w:pPr>
        <w:pStyle w:val="8"/>
      </w:pPr>
      <w:r>
        <w:rPr>
          <w:rFonts w:hint="eastAsia"/>
          <w:bCs/>
        </w:rPr>
        <w:t>没有只涨不跌的市场，也没有包赚不赔的投资。在您进入证券市场之前，</w:t>
      </w:r>
      <w:r>
        <w:rPr>
          <w:rFonts w:hint="eastAsia"/>
        </w:rPr>
        <w:t>为了使您更好地了解相关风险，根据证券市场有关法律法规、行政规章、证券登记结算机构和证券交易所业务规则，以及中国证券业协会自律规则，特提供本风险揭示书，请您认真详细阅读。投资者从事证券投资包括但不限于如下风险：</w:t>
      </w:r>
    </w:p>
    <w:p>
      <w:pPr>
        <w:spacing w:line="336" w:lineRule="auto"/>
        <w:ind w:firstLine="560" w:firstLineChars="200"/>
        <w:rPr>
          <w:rFonts w:ascii="仿宋_GB2312" w:eastAsia="仿宋_GB2312" w:cs="Arial"/>
          <w:kern w:val="0"/>
          <w:sz w:val="28"/>
          <w:szCs w:val="28"/>
        </w:rPr>
      </w:pPr>
      <w:r>
        <w:rPr>
          <w:rFonts w:hint="eastAsia" w:ascii="仿宋_GB2312" w:eastAsia="仿宋_GB2312" w:cs="Arial"/>
          <w:kern w:val="0"/>
          <w:sz w:val="28"/>
          <w:szCs w:val="28"/>
        </w:rPr>
        <w:t>1、宏观经济风险：我国宏观经济形势的变化以及其他国家、地区宏观经济环境和证券市场的变化，可能引起证券市场的波动，使您存在亏损的可能，您将不得不承担由此造成的损失。</w:t>
      </w:r>
    </w:p>
    <w:p>
      <w:pPr>
        <w:spacing w:line="336" w:lineRule="auto"/>
        <w:ind w:firstLine="560" w:firstLineChars="200"/>
        <w:rPr>
          <w:rFonts w:ascii="仿宋_GB2312" w:eastAsia="仿宋_GB2312" w:cs="Arial"/>
          <w:kern w:val="0"/>
          <w:sz w:val="28"/>
          <w:szCs w:val="28"/>
        </w:rPr>
      </w:pPr>
      <w:r>
        <w:rPr>
          <w:rFonts w:hint="eastAsia" w:ascii="仿宋_GB2312" w:eastAsia="仿宋_GB2312" w:cs="Arial"/>
          <w:kern w:val="0"/>
          <w:sz w:val="28"/>
          <w:szCs w:val="28"/>
        </w:rPr>
        <w:t>2、政策风险：有关证券市场的法律、法规及相关政策、规则发生变化，可能引起证券市场价格波动，使您存在亏损的可能，您将不得不承担由此造成的损失。</w:t>
      </w:r>
    </w:p>
    <w:p>
      <w:pPr>
        <w:spacing w:line="336" w:lineRule="auto"/>
        <w:ind w:firstLine="560" w:firstLineChars="200"/>
        <w:rPr>
          <w:rFonts w:ascii="仿宋_GB2312" w:eastAsia="仿宋_GB2312" w:cs="Arial"/>
          <w:kern w:val="0"/>
          <w:sz w:val="28"/>
          <w:szCs w:val="28"/>
        </w:rPr>
      </w:pPr>
      <w:r>
        <w:rPr>
          <w:rFonts w:hint="eastAsia" w:ascii="仿宋_GB2312" w:eastAsia="仿宋_GB2312" w:cs="Arial"/>
          <w:kern w:val="0"/>
          <w:sz w:val="28"/>
          <w:szCs w:val="28"/>
        </w:rPr>
        <w:t>3、上市公司经营风险：由于上市公司所处行业整体经营形势的变化；由于上市公司经营管理等方面的因素，如经营决策重大失误、高级管理人员变更、重大诉讼等都可能引起该公司证券价格的波动；由于上市公司经营不善甚至于会导致该公司被停牌、摘牌，这些都使您存在亏损的可能。</w:t>
      </w:r>
    </w:p>
    <w:p>
      <w:pPr>
        <w:spacing w:line="336" w:lineRule="auto"/>
        <w:ind w:firstLine="560" w:firstLineChars="200"/>
        <w:rPr>
          <w:rFonts w:ascii="仿宋_GB2312" w:eastAsia="仿宋_GB2312" w:cs="Arial"/>
          <w:kern w:val="0"/>
          <w:sz w:val="28"/>
          <w:szCs w:val="28"/>
        </w:rPr>
      </w:pPr>
      <w:r>
        <w:rPr>
          <w:rFonts w:hint="eastAsia" w:ascii="仿宋_GB2312" w:eastAsia="仿宋_GB2312" w:cs="Arial"/>
          <w:kern w:val="0"/>
          <w:sz w:val="28"/>
          <w:szCs w:val="28"/>
        </w:rPr>
        <w:t>4、技术风险：由于交易撮合、清算交收、行情揭示及银证转账是通过电子通讯技术和电脑技术来实现的，这些技术存在着被网络黑客和计算机病毒攻击的可能，同时通讯技术、电脑技术和相关软件具有存在缺陷的可能，这些风险可能给您带来损失或银证转账资金不能即时到账。</w:t>
      </w:r>
    </w:p>
    <w:p>
      <w:pPr>
        <w:spacing w:line="336" w:lineRule="auto"/>
        <w:ind w:firstLine="560" w:firstLineChars="200"/>
        <w:rPr>
          <w:rFonts w:ascii="仿宋_GB2312" w:eastAsia="仿宋_GB2312" w:cs="Arial"/>
          <w:kern w:val="0"/>
          <w:sz w:val="28"/>
          <w:szCs w:val="28"/>
        </w:rPr>
      </w:pPr>
      <w:r>
        <w:rPr>
          <w:rFonts w:hint="eastAsia" w:ascii="仿宋_GB2312" w:eastAsia="仿宋_GB2312" w:cs="Arial"/>
          <w:kern w:val="0"/>
          <w:sz w:val="28"/>
          <w:szCs w:val="28"/>
        </w:rPr>
        <w:t>由于证券交易所主机和证券公司主机客观上存在时间差，若您的委托时间早于或晚于证券交易所服务器时间，将会产生不利于您的委托成交或不成交的风险。</w:t>
      </w:r>
    </w:p>
    <w:p>
      <w:pPr>
        <w:spacing w:line="336" w:lineRule="auto"/>
        <w:ind w:firstLine="560" w:firstLineChars="200"/>
        <w:rPr>
          <w:rFonts w:ascii="仿宋_GB2312" w:eastAsia="仿宋_GB2312" w:cs="Arial"/>
          <w:kern w:val="0"/>
          <w:sz w:val="28"/>
          <w:szCs w:val="28"/>
        </w:rPr>
      </w:pPr>
      <w:r>
        <w:rPr>
          <w:rFonts w:hint="eastAsia" w:ascii="仿宋_GB2312" w:eastAsia="仿宋_GB2312" w:cs="Arial"/>
          <w:kern w:val="0"/>
          <w:sz w:val="28"/>
          <w:szCs w:val="28"/>
        </w:rPr>
        <w:t xml:space="preserve">5、不可抗力因素导致的风险：因不可抗力、意外事件、技术故障或交易所认定的其他异常情况，导致部分或全部交易不能进行的，交易所可以决定单独或同时采取暂缓进入交收、技术性停牌或临时停市等措施；诸如地震、台风、火灾、水灾、战争、瘟疫、社会动乱等不可抗力因素可能导致证券交易系统瘫痪；证券公司无法控制和不可预测的系统故障、设备故障、通讯故障、电力故障等也可能导致证券交易系统非正常运行甚至瘫痪；证券公司和银行无法控制和不可预测的系统故障、设备故障、通讯故障、电力故障等也可能导致银证转账系统非正常运行甚至瘫痪，这些都会使您的交易委托无法成交或者无法全部成交，或者银证转账资金不能即时到账，您将不得不承担由此导致的损失和不便。 </w:t>
      </w:r>
    </w:p>
    <w:p>
      <w:pPr>
        <w:spacing w:line="336" w:lineRule="auto"/>
        <w:ind w:firstLine="560" w:firstLineChars="200"/>
        <w:rPr>
          <w:rFonts w:ascii="仿宋_GB2312" w:eastAsia="仿宋_GB2312" w:cs="Arial"/>
          <w:kern w:val="0"/>
          <w:sz w:val="28"/>
          <w:szCs w:val="28"/>
        </w:rPr>
      </w:pPr>
      <w:r>
        <w:rPr>
          <w:rFonts w:hint="eastAsia" w:ascii="仿宋_GB2312" w:eastAsia="仿宋_GB2312" w:cs="Arial"/>
          <w:kern w:val="0"/>
          <w:sz w:val="28"/>
          <w:szCs w:val="28"/>
        </w:rPr>
        <w:t>6、特殊证券品种的风险</w:t>
      </w:r>
    </w:p>
    <w:p>
      <w:pPr>
        <w:spacing w:line="336" w:lineRule="auto"/>
        <w:ind w:firstLine="560" w:firstLineChars="200"/>
        <w:rPr>
          <w:rFonts w:ascii="仿宋_GB2312" w:eastAsia="仿宋_GB2312" w:cs="Arial"/>
          <w:kern w:val="0"/>
          <w:sz w:val="28"/>
          <w:szCs w:val="28"/>
        </w:rPr>
      </w:pPr>
      <w:r>
        <w:rPr>
          <w:rFonts w:hint="eastAsia" w:ascii="仿宋_GB2312" w:eastAsia="仿宋_GB2312" w:cs="Arial"/>
          <w:kern w:val="0"/>
          <w:sz w:val="28"/>
          <w:szCs w:val="28"/>
        </w:rPr>
        <w:t>您应当根据自身的经济实力、承受能力和对投资品种的了解程度，认真决定证券投资品种及策略，当您有意投资ST、*ST、退市整理类股票或者其他有较大潜在风险的证券品种（如权证等衍生品）时，尤其应当清醒地认识到该类证券品种可能蕴含着更大的投资风险。</w:t>
      </w:r>
    </w:p>
    <w:p>
      <w:pPr>
        <w:spacing w:line="336" w:lineRule="auto"/>
        <w:ind w:firstLine="560" w:firstLineChars="200"/>
        <w:rPr>
          <w:rFonts w:ascii="仿宋_GB2312" w:eastAsia="仿宋_GB2312" w:cs="Arial"/>
          <w:kern w:val="0"/>
          <w:sz w:val="28"/>
          <w:szCs w:val="28"/>
        </w:rPr>
      </w:pPr>
      <w:r>
        <w:rPr>
          <w:rFonts w:hint="eastAsia" w:ascii="仿宋_GB2312" w:eastAsia="仿宋_GB2312" w:cs="Arial"/>
          <w:kern w:val="0"/>
          <w:sz w:val="28"/>
          <w:szCs w:val="28"/>
        </w:rPr>
        <w:t>7、其他风险</w:t>
      </w:r>
    </w:p>
    <w:p>
      <w:pPr>
        <w:spacing w:line="336" w:lineRule="auto"/>
        <w:ind w:firstLine="560" w:firstLineChars="200"/>
        <w:rPr>
          <w:rFonts w:ascii="仿宋_GB2312" w:eastAsia="仿宋_GB2312" w:cs="Arial"/>
          <w:kern w:val="0"/>
          <w:sz w:val="28"/>
          <w:szCs w:val="28"/>
        </w:rPr>
      </w:pPr>
      <w:r>
        <w:rPr>
          <w:rFonts w:hint="eastAsia" w:ascii="仿宋_GB2312" w:eastAsia="仿宋_GB2312" w:cs="Arial"/>
          <w:kern w:val="0"/>
          <w:sz w:val="28"/>
          <w:szCs w:val="28"/>
        </w:rPr>
        <w:t>由于您密码失密、数字证书保管不当、投资决策失误、操作不当等原因可能会使您遭受损失；网上委托、热键委托等自助委托方式操作完毕后未及时退出，他人进行恶意操作而造成的损失；网上交易还可能遭遇黑客攻击，从而造成损失；委托他人代理证券交易，且长期不关注账户变化，致使他人恶意操作而造成的损失；由于您疏于防范而轻信非法网络证券欺诈活动，可能会使您遭受损失，</w:t>
      </w:r>
      <w:r>
        <w:rPr>
          <w:rFonts w:hint="eastAsia" w:ascii="仿宋_GB2312" w:hAnsi="ˎ̥" w:eastAsia="仿宋_GB2312"/>
          <w:kern w:val="0"/>
          <w:sz w:val="28"/>
          <w:szCs w:val="28"/>
        </w:rPr>
        <w:t>上述</w:t>
      </w:r>
      <w:r>
        <w:rPr>
          <w:rFonts w:hint="eastAsia" w:ascii="仿宋_GB2312" w:eastAsia="仿宋_GB2312" w:cs="Arial"/>
          <w:kern w:val="0"/>
          <w:sz w:val="28"/>
          <w:szCs w:val="28"/>
        </w:rPr>
        <w:t>损失都将由您自行承担</w:t>
      </w:r>
      <w:r>
        <w:rPr>
          <w:rFonts w:hint="eastAsia" w:ascii="仿宋_GB2312" w:hAnsi="ˎ̥" w:eastAsia="仿宋_GB2312"/>
          <w:kern w:val="0"/>
          <w:sz w:val="28"/>
          <w:szCs w:val="28"/>
        </w:rPr>
        <w:t>。</w:t>
      </w:r>
      <w:r>
        <w:rPr>
          <w:rFonts w:hint="eastAsia" w:ascii="仿宋_GB2312" w:eastAsia="仿宋_GB2312" w:cs="Arial"/>
          <w:kern w:val="0"/>
          <w:sz w:val="28"/>
          <w:szCs w:val="28"/>
        </w:rPr>
        <w:t>在您进行证券交易时，他人给予您的保证获利或不会发生亏损的任何承诺都是没有根据的，类似的承诺不会减少您发生亏损的可能。</w:t>
      </w:r>
    </w:p>
    <w:p>
      <w:pPr>
        <w:spacing w:line="336" w:lineRule="auto"/>
        <w:ind w:firstLine="560" w:firstLineChars="200"/>
        <w:rPr>
          <w:rFonts w:ascii="仿宋_GB2312" w:eastAsia="仿宋_GB2312" w:cs="Arial"/>
          <w:kern w:val="0"/>
          <w:sz w:val="28"/>
          <w:szCs w:val="28"/>
        </w:rPr>
      </w:pPr>
    </w:p>
    <w:p>
      <w:pPr>
        <w:spacing w:line="336" w:lineRule="auto"/>
        <w:ind w:firstLine="562" w:firstLineChars="200"/>
        <w:rPr>
          <w:rFonts w:ascii="仿宋_GB2312" w:eastAsia="仿宋_GB2312" w:cs="Arial"/>
          <w:kern w:val="0"/>
          <w:sz w:val="28"/>
          <w:szCs w:val="28"/>
        </w:rPr>
      </w:pPr>
      <w:r>
        <w:rPr>
          <w:rFonts w:hint="eastAsia" w:ascii="仿宋_GB2312" w:eastAsia="仿宋_GB2312" w:cs="Arial"/>
          <w:b/>
          <w:kern w:val="0"/>
          <w:sz w:val="28"/>
          <w:szCs w:val="28"/>
        </w:rPr>
        <w:t>特别提示：</w:t>
      </w:r>
      <w:r>
        <w:rPr>
          <w:rFonts w:hint="eastAsia" w:ascii="仿宋_GB2312" w:eastAsia="仿宋_GB2312" w:cs="Arial"/>
          <w:kern w:val="0"/>
          <w:sz w:val="28"/>
          <w:szCs w:val="28"/>
        </w:rPr>
        <w:t>本公司敬告投资者，请您配合证券公司进行风险承受能力评估，并客观判断自身风险承受能力与证券交易涉及的各类金融产品的风险是否相匹配，审慎进行投资。</w:t>
      </w:r>
    </w:p>
    <w:p>
      <w:pPr>
        <w:spacing w:line="336" w:lineRule="auto"/>
        <w:ind w:firstLine="560" w:firstLineChars="200"/>
        <w:rPr>
          <w:rFonts w:ascii="仿宋_GB2312" w:eastAsia="仿宋_GB2312" w:cs="Arial"/>
          <w:kern w:val="0"/>
          <w:sz w:val="28"/>
          <w:szCs w:val="28"/>
        </w:rPr>
      </w:pPr>
      <w:r>
        <w:rPr>
          <w:rFonts w:hint="eastAsia" w:ascii="仿宋_GB2312" w:eastAsia="仿宋_GB2312" w:cs="Arial"/>
          <w:kern w:val="0"/>
          <w:sz w:val="28"/>
          <w:szCs w:val="28"/>
        </w:rPr>
        <w:t>如您是具备证券投资资格的境外投资者，在参与境内证券市场投资前，应充分知晓境内证券市场的相关法规知识、境内证券市场风险特征，了解并遵守境内证券市场的法律法规、监管规定、业务规则及相关规定等。</w:t>
      </w:r>
    </w:p>
    <w:p>
      <w:pPr>
        <w:spacing w:line="336" w:lineRule="auto"/>
        <w:ind w:firstLine="560" w:firstLineChars="200"/>
        <w:rPr>
          <w:rFonts w:ascii="仿宋_GB2312" w:eastAsia="仿宋_GB2312" w:cs="Arial"/>
          <w:kern w:val="0"/>
          <w:sz w:val="28"/>
          <w:szCs w:val="28"/>
        </w:rPr>
      </w:pPr>
      <w:r>
        <w:rPr>
          <w:rFonts w:hint="eastAsia" w:ascii="仿宋_GB2312" w:eastAsia="仿宋_GB2312" w:cs="Arial"/>
          <w:kern w:val="0"/>
          <w:sz w:val="28"/>
          <w:szCs w:val="28"/>
        </w:rPr>
        <w:t>证券市场是一个风险无时不在的市场。您在进行证券交易时存在赢利的可能，也存在亏损的风险。本风险揭示书并不能揭示从事证券交易的全部风险及证券市场的全部情形。您务必对此有清醒的认识，认真考虑是否参与证券交易。当您决定参与证券交易时，请您务必</w:t>
      </w:r>
      <w:r>
        <w:rPr>
          <w:rFonts w:hint="eastAsia" w:ascii="仿宋_GB2312" w:eastAsia="仿宋_GB2312"/>
          <w:bCs/>
          <w:sz w:val="28"/>
          <w:szCs w:val="28"/>
        </w:rPr>
        <w:t>认真阅读风险揭示书并签字。</w:t>
      </w:r>
    </w:p>
    <w:p>
      <w:pPr>
        <w:spacing w:line="336" w:lineRule="auto"/>
        <w:ind w:firstLine="560" w:firstLineChars="200"/>
        <w:rPr>
          <w:rFonts w:ascii="仿宋_GB2312" w:eastAsia="仿宋_GB2312" w:cs="Arial"/>
          <w:kern w:val="0"/>
          <w:sz w:val="28"/>
          <w:szCs w:val="28"/>
        </w:rPr>
      </w:pPr>
      <w:r>
        <w:rPr>
          <w:rFonts w:hint="eastAsia" w:ascii="仿宋_GB2312" w:eastAsia="仿宋_GB2312" w:cs="Arial"/>
          <w:kern w:val="0"/>
          <w:sz w:val="28"/>
          <w:szCs w:val="28"/>
        </w:rPr>
        <w:t>股市有风险，入市需谨慎！</w:t>
      </w:r>
    </w:p>
    <w:p>
      <w:pPr>
        <w:spacing w:line="336" w:lineRule="auto"/>
        <w:ind w:firstLine="600" w:firstLineChars="200"/>
        <w:rPr>
          <w:rFonts w:ascii="仿宋_GB2312" w:eastAsia="仿宋_GB2312" w:cs="Arial"/>
          <w:kern w:val="0"/>
          <w:sz w:val="30"/>
          <w:szCs w:val="30"/>
        </w:rPr>
      </w:pPr>
    </w:p>
    <w:p>
      <w:pPr>
        <w:spacing w:line="336" w:lineRule="auto"/>
        <w:ind w:firstLine="600" w:firstLineChars="200"/>
        <w:rPr>
          <w:rFonts w:ascii="仿宋_GB2312" w:eastAsia="仿宋_GB2312" w:cs="Arial"/>
          <w:kern w:val="0"/>
          <w:sz w:val="30"/>
          <w:szCs w:val="30"/>
        </w:rPr>
      </w:pPr>
    </w:p>
    <w:p>
      <w:pPr>
        <w:adjustRightInd w:val="0"/>
        <w:rPr>
          <w:rFonts w:ascii="黑体" w:eastAsia="黑体"/>
          <w:b/>
          <w:kern w:val="0"/>
          <w:sz w:val="30"/>
          <w:szCs w:val="30"/>
        </w:rPr>
      </w:pPr>
      <w:r>
        <w:rPr>
          <w:rFonts w:hint="eastAsia" w:ascii="黑体" w:eastAsia="黑体"/>
          <w:b/>
          <w:kern w:val="0"/>
          <w:sz w:val="30"/>
          <w:szCs w:val="30"/>
        </w:rPr>
        <w:t xml:space="preserve">    </w:t>
      </w:r>
    </w:p>
    <w:p>
      <w:pPr>
        <w:adjustRightInd w:val="0"/>
        <w:ind w:firstLine="600"/>
        <w:rPr>
          <w:rFonts w:ascii="华文中宋" w:hAnsi="华文中宋" w:eastAsia="华文中宋"/>
          <w:b/>
          <w:sz w:val="30"/>
          <w:szCs w:val="30"/>
        </w:rPr>
      </w:pPr>
      <w:r>
        <w:rPr>
          <w:rFonts w:hint="eastAsia" w:ascii="华文中宋" w:hAnsi="华文中宋" w:eastAsia="华文中宋"/>
          <w:b/>
          <w:kern w:val="0"/>
          <w:sz w:val="30"/>
          <w:szCs w:val="30"/>
        </w:rPr>
        <w:t>本人/机构已阅读并完全理解以上《证券交易委托风险揭示书》，</w:t>
      </w:r>
      <w:r>
        <w:rPr>
          <w:rFonts w:hint="eastAsia" w:ascii="华文中宋" w:hAnsi="华文中宋" w:eastAsia="华文中宋"/>
          <w:b/>
          <w:sz w:val="30"/>
          <w:szCs w:val="30"/>
        </w:rPr>
        <w:t>愿意承担证券市场的各种风险。</w:t>
      </w:r>
    </w:p>
    <w:p>
      <w:pPr>
        <w:rPr>
          <w:sz w:val="30"/>
          <w:szCs w:val="30"/>
        </w:rPr>
      </w:pPr>
    </w:p>
    <w:p>
      <w:pPr>
        <w:rPr>
          <w:sz w:val="30"/>
          <w:szCs w:val="30"/>
        </w:rPr>
      </w:pPr>
    </w:p>
    <w:p>
      <w:pPr>
        <w:rPr>
          <w:sz w:val="30"/>
          <w:szCs w:val="30"/>
        </w:rPr>
      </w:pPr>
    </w:p>
    <w:p>
      <w:pPr>
        <w:rPr>
          <w:sz w:val="30"/>
          <w:szCs w:val="30"/>
        </w:rPr>
      </w:pPr>
    </w:p>
    <w:p>
      <w:pPr>
        <w:rPr>
          <w:sz w:val="30"/>
          <w:szCs w:val="30"/>
        </w:rPr>
      </w:pPr>
    </w:p>
    <w:p>
      <w:pPr>
        <w:rPr>
          <w:rFonts w:ascii="仿宋_GB2312" w:eastAsia="仿宋_GB2312"/>
          <w:sz w:val="30"/>
          <w:szCs w:val="30"/>
        </w:rPr>
      </w:pPr>
      <w:r>
        <w:rPr>
          <w:rFonts w:hint="eastAsia"/>
          <w:sz w:val="30"/>
          <w:szCs w:val="30"/>
        </w:rPr>
        <w:t xml:space="preserve">                         </w:t>
      </w:r>
      <w:r>
        <w:rPr>
          <w:rFonts w:hint="eastAsia" w:ascii="仿宋_GB2312" w:eastAsia="仿宋_GB2312"/>
          <w:sz w:val="30"/>
          <w:szCs w:val="30"/>
        </w:rPr>
        <w:t>客户：</w:t>
      </w:r>
    </w:p>
    <w:p>
      <w:pPr>
        <w:rPr>
          <w:rFonts w:ascii="仿宋_GB2312" w:eastAsia="仿宋_GB2312"/>
          <w:sz w:val="30"/>
          <w:szCs w:val="30"/>
        </w:rPr>
      </w:pPr>
      <w:r>
        <w:rPr>
          <w:rFonts w:hint="eastAsia" w:ascii="仿宋_GB2312" w:eastAsia="仿宋_GB2312"/>
          <w:sz w:val="30"/>
          <w:szCs w:val="30"/>
        </w:rPr>
        <w:t xml:space="preserve">                        （个人签字/机构盖章）</w:t>
      </w:r>
    </w:p>
    <w:p>
      <w:r>
        <w:rPr>
          <w:rFonts w:hint="eastAsia" w:ascii="仿宋_GB2312" w:eastAsia="仿宋_GB2312"/>
          <w:sz w:val="30"/>
          <w:szCs w:val="30"/>
        </w:rPr>
        <w:t xml:space="preserve">                         签署日期：    年   月  日</w:t>
      </w:r>
    </w:p>
    <w:p>
      <w:pPr>
        <w:widowControl/>
        <w:spacing w:before="100" w:beforeAutospacing="1" w:after="100" w:afterAutospacing="1" w:line="336" w:lineRule="auto"/>
        <w:rPr>
          <w:rFonts w:ascii="仿宋_GB2312" w:eastAsia="仿宋_GB2312"/>
          <w:sz w:val="32"/>
          <w:szCs w:val="32"/>
        </w:rPr>
      </w:pPr>
      <w:r>
        <w:rPr>
          <w:rFonts w:ascii="仿宋_GB2312" w:eastAsia="仿宋_GB2312" w:cs="Arial"/>
          <w:kern w:val="0"/>
          <w:sz w:val="28"/>
          <w:szCs w:val="28"/>
        </w:rPr>
        <w:br w:type="page"/>
      </w:r>
      <w:r>
        <w:rPr>
          <w:rFonts w:hint="eastAsia" w:ascii="仿宋_GB2312" w:hAnsi="仿宋_GB2312" w:eastAsia="仿宋_GB2312" w:cs="黑体"/>
          <w:bCs/>
          <w:sz w:val="32"/>
          <w:szCs w:val="32"/>
        </w:rPr>
        <w:t>附件2</w:t>
      </w:r>
    </w:p>
    <w:p>
      <w:pPr>
        <w:widowControl/>
        <w:adjustRightInd w:val="0"/>
        <w:spacing w:line="360" w:lineRule="auto"/>
        <w:jc w:val="center"/>
        <w:rPr>
          <w:rFonts w:ascii="华文中宋" w:hAnsi="华文中宋" w:eastAsia="华文中宋"/>
          <w:b/>
          <w:sz w:val="36"/>
        </w:rPr>
      </w:pPr>
      <w:r>
        <w:rPr>
          <w:rFonts w:hint="eastAsia" w:ascii="华文中宋" w:hAnsi="华文中宋" w:eastAsia="华文中宋"/>
          <w:b/>
          <w:sz w:val="36"/>
        </w:rPr>
        <w:t>创业板市场投资风险揭示书</w:t>
      </w:r>
    </w:p>
    <w:p>
      <w:pPr>
        <w:widowControl/>
        <w:adjustRightInd w:val="0"/>
        <w:spacing w:line="360" w:lineRule="auto"/>
        <w:jc w:val="left"/>
        <w:rPr>
          <w:rFonts w:ascii="仿宋_GB2312" w:eastAsia="仿宋_GB2312"/>
          <w:b/>
          <w:kern w:val="0"/>
          <w:sz w:val="28"/>
        </w:rPr>
      </w:pPr>
    </w:p>
    <w:p>
      <w:pPr>
        <w:widowControl/>
        <w:adjustRightInd w:val="0"/>
        <w:spacing w:line="360" w:lineRule="auto"/>
        <w:jc w:val="left"/>
        <w:rPr>
          <w:rFonts w:ascii="仿宋_GB2312" w:eastAsia="仿宋_GB2312"/>
          <w:b/>
          <w:kern w:val="0"/>
          <w:sz w:val="28"/>
          <w:szCs w:val="28"/>
        </w:rPr>
      </w:pPr>
      <w:r>
        <w:rPr>
          <w:rFonts w:hint="eastAsia" w:ascii="仿宋_GB2312" w:eastAsia="仿宋_GB2312"/>
          <w:b/>
          <w:kern w:val="0"/>
          <w:sz w:val="28"/>
          <w:szCs w:val="28"/>
        </w:rPr>
        <w:t>尊敬的投资者：</w:t>
      </w:r>
    </w:p>
    <w:p>
      <w:pPr>
        <w:widowControl/>
        <w:adjustRightInd w:val="0"/>
        <w:spacing w:line="360" w:lineRule="auto"/>
        <w:ind w:firstLine="560" w:firstLineChars="200"/>
        <w:jc w:val="left"/>
        <w:rPr>
          <w:rFonts w:ascii="仿宋_GB2312" w:eastAsia="仿宋_GB2312"/>
          <w:kern w:val="0"/>
          <w:sz w:val="28"/>
          <w:szCs w:val="28"/>
        </w:rPr>
      </w:pPr>
      <w:r>
        <w:rPr>
          <w:rFonts w:hint="eastAsia" w:ascii="仿宋_GB2312" w:eastAsia="仿宋_GB2312"/>
          <w:sz w:val="28"/>
          <w:szCs w:val="28"/>
        </w:rPr>
        <w:t>与主板市场相比，创业板市场有其特有的风险，</w:t>
      </w:r>
      <w:r>
        <w:rPr>
          <w:rFonts w:hint="eastAsia" w:ascii="仿宋_GB2312" w:eastAsia="仿宋_GB2312"/>
          <w:kern w:val="0"/>
          <w:sz w:val="28"/>
          <w:szCs w:val="28"/>
        </w:rPr>
        <w:t>为了使您更好地了解创业板市场投资的基本知识和相关风险，根据有关法律、法规、规章和规则的规定，本公司特向您进行如下风险揭示，请认真阅读并签署。</w:t>
      </w:r>
    </w:p>
    <w:p>
      <w:pPr>
        <w:ind w:firstLine="602" w:firstLineChars="200"/>
        <w:rPr>
          <w:rFonts w:ascii="黑体" w:eastAsia="黑体"/>
          <w:b/>
          <w:kern w:val="0"/>
          <w:sz w:val="30"/>
        </w:rPr>
      </w:pPr>
      <w:r>
        <w:rPr>
          <w:rFonts w:hint="eastAsia" w:ascii="黑体" w:eastAsia="黑体"/>
          <w:b/>
          <w:kern w:val="0"/>
          <w:sz w:val="30"/>
        </w:rPr>
        <w:t>一、重要提示</w:t>
      </w:r>
    </w:p>
    <w:p>
      <w:pPr>
        <w:widowControl/>
        <w:adjustRightInd w:val="0"/>
        <w:spacing w:line="360" w:lineRule="auto"/>
        <w:ind w:firstLine="562" w:firstLineChars="200"/>
        <w:jc w:val="left"/>
        <w:rPr>
          <w:rFonts w:ascii="仿宋_GB2312" w:eastAsia="仿宋_GB2312"/>
          <w:kern w:val="0"/>
          <w:sz w:val="28"/>
          <w:szCs w:val="28"/>
        </w:rPr>
      </w:pPr>
      <w:r>
        <w:rPr>
          <w:rFonts w:hint="eastAsia" w:ascii="仿宋_GB2312" w:eastAsia="仿宋_GB2312"/>
          <w:b/>
          <w:kern w:val="0"/>
          <w:sz w:val="28"/>
          <w:szCs w:val="28"/>
        </w:rPr>
        <w:t>（一）创业板市场发行、上市等业务规则与现有的主板、中小企业板市场的相关业务规则存在一定差别。</w:t>
      </w:r>
      <w:r>
        <w:rPr>
          <w:rFonts w:hint="eastAsia" w:ascii="仿宋_GB2312" w:eastAsia="仿宋_GB2312"/>
          <w:kern w:val="0"/>
          <w:sz w:val="28"/>
          <w:szCs w:val="28"/>
        </w:rPr>
        <w:t>在参与创业板市场投资之前，请您务必认真阅读《首次公开发行股票并在创业板上市管理暂行办法》、《深圳证券交易所创业板股票上市规则》等有关规章、业务规则和指引。</w:t>
      </w:r>
    </w:p>
    <w:p>
      <w:pPr>
        <w:spacing w:line="360" w:lineRule="auto"/>
        <w:ind w:firstLine="562" w:firstLineChars="200"/>
        <w:rPr>
          <w:rFonts w:ascii="仿宋_GB2312" w:eastAsia="仿宋_GB2312"/>
          <w:sz w:val="28"/>
          <w:szCs w:val="28"/>
        </w:rPr>
      </w:pPr>
      <w:r>
        <w:rPr>
          <w:rFonts w:hint="eastAsia" w:ascii="仿宋_GB2312" w:eastAsia="仿宋_GB2312"/>
          <w:b/>
          <w:kern w:val="0"/>
          <w:sz w:val="28"/>
          <w:szCs w:val="28"/>
        </w:rPr>
        <w:t>（二）</w:t>
      </w:r>
      <w:r>
        <w:rPr>
          <w:rFonts w:hint="eastAsia" w:ascii="仿宋_GB2312" w:eastAsia="仿宋_GB2312"/>
          <w:b/>
          <w:sz w:val="28"/>
          <w:szCs w:val="28"/>
        </w:rPr>
        <w:t>创业板市场上市公司与现有的主板市场上市公司相比较，一般具有成长性强、业务模式新，但规模较小、经营业绩不够稳定等特点。</w:t>
      </w:r>
      <w:r>
        <w:rPr>
          <w:rFonts w:hint="eastAsia" w:ascii="仿宋_GB2312" w:eastAsia="仿宋_GB2312"/>
          <w:kern w:val="0"/>
          <w:sz w:val="28"/>
          <w:szCs w:val="28"/>
        </w:rPr>
        <w:t>在参与创业板市场投资之前，请您务必</w:t>
      </w:r>
      <w:r>
        <w:rPr>
          <w:rFonts w:hint="eastAsia" w:ascii="仿宋_GB2312" w:eastAsia="仿宋_GB2312"/>
          <w:sz w:val="28"/>
          <w:szCs w:val="28"/>
        </w:rPr>
        <w:t>仔细研读</w:t>
      </w:r>
      <w:r>
        <w:rPr>
          <w:rFonts w:hint="eastAsia" w:ascii="仿宋_GB2312" w:eastAsia="仿宋_GB2312"/>
          <w:kern w:val="0"/>
          <w:sz w:val="28"/>
          <w:szCs w:val="28"/>
        </w:rPr>
        <w:t>相关公司的《招股说明书》、《上市公告书》、定期报告及其他</w:t>
      </w:r>
      <w:r>
        <w:rPr>
          <w:rFonts w:hint="eastAsia" w:ascii="仿宋_GB2312" w:eastAsia="仿宋_GB2312"/>
          <w:sz w:val="28"/>
          <w:szCs w:val="28"/>
        </w:rPr>
        <w:t>各种公告，了解公司基本情况，做到理性投资，切忌盲目跟风。</w:t>
      </w:r>
    </w:p>
    <w:p>
      <w:pPr>
        <w:tabs>
          <w:tab w:val="left" w:pos="720"/>
        </w:tabs>
        <w:autoSpaceDE w:val="0"/>
        <w:autoSpaceDN w:val="0"/>
        <w:adjustRightInd w:val="0"/>
        <w:spacing w:line="360" w:lineRule="auto"/>
        <w:ind w:right="17" w:firstLine="416" w:firstLineChars="148"/>
        <w:jc w:val="left"/>
        <w:rPr>
          <w:rFonts w:ascii="仿宋_GB2312" w:eastAsia="仿宋_GB2312"/>
          <w:sz w:val="28"/>
          <w:szCs w:val="28"/>
        </w:rPr>
      </w:pPr>
      <w:r>
        <w:rPr>
          <w:rFonts w:hint="eastAsia" w:ascii="仿宋_GB2312" w:eastAsia="仿宋_GB2312"/>
          <w:b/>
          <w:kern w:val="0"/>
          <w:sz w:val="28"/>
          <w:szCs w:val="28"/>
        </w:rPr>
        <w:t>（三）为确保市场的“公开、公平、公正”和稳定健康发展，创业板市场将采取更加严格的措施，强化市场监管。</w:t>
      </w:r>
      <w:r>
        <w:rPr>
          <w:rFonts w:hint="eastAsia" w:ascii="仿宋_GB2312" w:eastAsia="仿宋_GB2312"/>
          <w:kern w:val="0"/>
          <w:sz w:val="28"/>
          <w:szCs w:val="28"/>
        </w:rPr>
        <w:t>请您务必密切</w:t>
      </w:r>
      <w:r>
        <w:rPr>
          <w:rFonts w:hint="eastAsia" w:ascii="仿宋_GB2312" w:eastAsia="仿宋_GB2312"/>
          <w:sz w:val="28"/>
          <w:szCs w:val="28"/>
        </w:rPr>
        <w:t>关注有关创业板市场上市公司的公告、风险提示等信息，及时了解市场风险状况，依法合规从事创业板市场投资。</w:t>
      </w:r>
    </w:p>
    <w:p>
      <w:pPr>
        <w:tabs>
          <w:tab w:val="left" w:pos="720"/>
        </w:tabs>
        <w:autoSpaceDE w:val="0"/>
        <w:autoSpaceDN w:val="0"/>
        <w:adjustRightInd w:val="0"/>
        <w:spacing w:line="360" w:lineRule="auto"/>
        <w:ind w:right="17" w:firstLine="414" w:firstLineChars="148"/>
        <w:jc w:val="left"/>
        <w:rPr>
          <w:rFonts w:ascii="仿宋_GB2312" w:eastAsia="仿宋_GB2312"/>
          <w:kern w:val="0"/>
          <w:sz w:val="28"/>
          <w:szCs w:val="28"/>
          <w:lang w:val="zh-CN"/>
        </w:rPr>
      </w:pPr>
      <w:r>
        <w:rPr>
          <w:rFonts w:hint="eastAsia" w:ascii="仿宋_GB2312" w:eastAsia="仿宋_GB2312"/>
          <w:sz w:val="28"/>
          <w:szCs w:val="28"/>
        </w:rPr>
        <w:t>（四）您在申请开通创业板市场交易时，请配合本公司开展的投资者适当性管理工作，完整、真实提供基本信息及有效联络方式，进行风险承受能力测评，接受本公司客户回访等。如不能做到这一点，本公司可以拒绝为您提供开通创业板市场交易服务。</w:t>
      </w:r>
    </w:p>
    <w:p>
      <w:pPr>
        <w:widowControl/>
        <w:adjustRightInd w:val="0"/>
        <w:spacing w:line="360" w:lineRule="auto"/>
        <w:ind w:firstLine="420" w:firstLineChars="150"/>
        <w:jc w:val="left"/>
        <w:rPr>
          <w:rFonts w:ascii="仿宋_GB2312" w:eastAsia="仿宋_GB2312"/>
          <w:kern w:val="0"/>
          <w:sz w:val="28"/>
          <w:szCs w:val="28"/>
        </w:rPr>
      </w:pPr>
      <w:r>
        <w:rPr>
          <w:rFonts w:hint="eastAsia" w:ascii="仿宋_GB2312" w:eastAsia="仿宋_GB2312"/>
          <w:kern w:val="0"/>
          <w:sz w:val="28"/>
          <w:szCs w:val="28"/>
        </w:rPr>
        <w:t>（五）您的联系方式发生变更或因出差、出国等原因可能造成联络不通畅时，请您务必及时通过本公司网站、网上委托系统、全国客户服务热线或直接到开户营业网点等方式办理变更手续，否则可能会因为无法联系导致您没有及时收到上市公司退市等重要信息而遭受损失。</w:t>
      </w:r>
    </w:p>
    <w:p>
      <w:pPr>
        <w:widowControl/>
        <w:adjustRightInd w:val="0"/>
        <w:spacing w:line="360" w:lineRule="auto"/>
        <w:ind w:firstLine="420" w:firstLineChars="150"/>
        <w:jc w:val="left"/>
        <w:rPr>
          <w:rFonts w:ascii="仿宋_GB2312" w:eastAsia="仿宋_GB2312"/>
          <w:kern w:val="0"/>
          <w:sz w:val="28"/>
          <w:szCs w:val="28"/>
        </w:rPr>
      </w:pPr>
      <w:r>
        <w:rPr>
          <w:rFonts w:hint="eastAsia" w:ascii="仿宋_GB2312" w:eastAsia="仿宋_GB2312"/>
          <w:kern w:val="0"/>
          <w:sz w:val="28"/>
          <w:szCs w:val="28"/>
        </w:rPr>
        <w:t>（六）本风险揭示书无法详尽列示创业板市场的全部投资风险。您在参与此项业务前，请务必对此有清醒认识。</w:t>
      </w:r>
    </w:p>
    <w:p>
      <w:pPr>
        <w:ind w:firstLine="602" w:firstLineChars="200"/>
        <w:rPr>
          <w:rFonts w:ascii="黑体" w:eastAsia="黑体"/>
          <w:b/>
          <w:kern w:val="0"/>
          <w:sz w:val="30"/>
        </w:rPr>
      </w:pPr>
      <w:r>
        <w:rPr>
          <w:rFonts w:hint="eastAsia" w:ascii="黑体" w:eastAsia="黑体"/>
          <w:b/>
          <w:kern w:val="0"/>
          <w:sz w:val="30"/>
        </w:rPr>
        <w:t>二、创业板市</w:t>
      </w:r>
      <w:r>
        <w:rPr>
          <w:rFonts w:hint="eastAsia" w:ascii="黑体" w:hAnsi="黑体" w:eastAsia="黑体"/>
          <w:b/>
          <w:kern w:val="0"/>
          <w:sz w:val="30"/>
        </w:rPr>
        <w:t>场</w:t>
      </w:r>
      <w:r>
        <w:rPr>
          <w:rFonts w:hint="eastAsia" w:ascii="黑体" w:eastAsia="黑体"/>
          <w:b/>
          <w:kern w:val="0"/>
          <w:sz w:val="30"/>
        </w:rPr>
        <w:t>投资特别风险揭示</w:t>
      </w:r>
    </w:p>
    <w:p>
      <w:pPr>
        <w:widowControl/>
        <w:adjustRightInd w:val="0"/>
        <w:spacing w:line="360" w:lineRule="auto"/>
        <w:ind w:firstLine="548" w:firstLineChars="196"/>
        <w:jc w:val="left"/>
        <w:rPr>
          <w:rFonts w:ascii="仿宋_GB2312" w:eastAsia="仿宋_GB2312"/>
          <w:kern w:val="0"/>
          <w:sz w:val="28"/>
          <w:szCs w:val="28"/>
        </w:rPr>
      </w:pPr>
      <w:r>
        <w:rPr>
          <w:rFonts w:hint="eastAsia" w:ascii="仿宋_GB2312" w:eastAsia="仿宋_GB2312"/>
          <w:kern w:val="0"/>
          <w:sz w:val="28"/>
          <w:szCs w:val="28"/>
        </w:rPr>
        <w:t>参与创业板市场投资，</w:t>
      </w:r>
      <w:r>
        <w:rPr>
          <w:rFonts w:hint="eastAsia" w:ascii="仿宋_GB2312" w:eastAsia="仿宋_GB2312"/>
          <w:b/>
          <w:kern w:val="0"/>
          <w:sz w:val="28"/>
          <w:szCs w:val="28"/>
        </w:rPr>
        <w:t>除具有与主板市场投资同样的风险外（详见《证券交易委托代理协议指引》之风险揭示书）</w:t>
      </w:r>
      <w:r>
        <w:rPr>
          <w:rFonts w:hint="eastAsia" w:ascii="仿宋_GB2312" w:eastAsia="仿宋_GB2312"/>
          <w:kern w:val="0"/>
          <w:sz w:val="28"/>
          <w:szCs w:val="28"/>
        </w:rPr>
        <w:t>，还请您了解以下内容并特别关注五大类风险（</w:t>
      </w:r>
      <w:r>
        <w:rPr>
          <w:rFonts w:hint="eastAsia" w:ascii="仿宋_GB2312" w:eastAsia="仿宋_GB2312"/>
          <w:b/>
          <w:kern w:val="0"/>
          <w:sz w:val="28"/>
          <w:szCs w:val="28"/>
        </w:rPr>
        <w:t>请认真阅读并逐项确认</w:t>
      </w:r>
      <w:r>
        <w:rPr>
          <w:rFonts w:hint="eastAsia" w:ascii="仿宋_GB2312" w:eastAsia="仿宋_GB2312"/>
          <w:kern w:val="0"/>
          <w:sz w:val="28"/>
          <w:szCs w:val="28"/>
        </w:rPr>
        <w:t>）。</w:t>
      </w:r>
    </w:p>
    <w:tbl>
      <w:tblPr>
        <w:tblStyle w:val="12"/>
        <w:tblW w:w="954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3"/>
        <w:gridCol w:w="797"/>
        <w:gridCol w:w="7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03" w:type="dxa"/>
            <w:vAlign w:val="center"/>
          </w:tcPr>
          <w:p>
            <w:pPr>
              <w:widowControl/>
              <w:adjustRightInd w:val="0"/>
              <w:spacing w:line="336" w:lineRule="auto"/>
              <w:jc w:val="center"/>
              <w:rPr>
                <w:rFonts w:ascii="仿宋_GB2312" w:eastAsia="仿宋_GB2312"/>
                <w:b/>
                <w:kern w:val="0"/>
                <w:sz w:val="28"/>
              </w:rPr>
            </w:pPr>
            <w:r>
              <w:rPr>
                <w:rFonts w:hint="eastAsia" w:ascii="仿宋_GB2312" w:eastAsia="仿宋_GB2312"/>
                <w:b/>
                <w:kern w:val="0"/>
                <w:sz w:val="28"/>
              </w:rPr>
              <w:t>确认</w:t>
            </w:r>
          </w:p>
          <w:p>
            <w:pPr>
              <w:widowControl/>
              <w:adjustRightInd w:val="0"/>
              <w:spacing w:line="336" w:lineRule="auto"/>
              <w:jc w:val="center"/>
              <w:rPr>
                <w:rFonts w:ascii="仿宋_GB2312" w:eastAsia="仿宋_GB2312"/>
                <w:b/>
                <w:kern w:val="0"/>
                <w:sz w:val="24"/>
              </w:rPr>
            </w:pPr>
            <w:r>
              <w:rPr>
                <w:rFonts w:hint="eastAsia" w:ascii="仿宋_GB2312" w:eastAsia="仿宋_GB2312"/>
                <w:b/>
                <w:kern w:val="0"/>
                <w:sz w:val="28"/>
              </w:rPr>
              <w:t>请打√</w:t>
            </w:r>
          </w:p>
        </w:tc>
        <w:tc>
          <w:tcPr>
            <w:tcW w:w="797" w:type="dxa"/>
            <w:vAlign w:val="center"/>
          </w:tcPr>
          <w:p>
            <w:pPr>
              <w:widowControl/>
              <w:adjustRightInd w:val="0"/>
              <w:spacing w:line="336" w:lineRule="auto"/>
              <w:jc w:val="center"/>
              <w:rPr>
                <w:rFonts w:ascii="仿宋_GB2312" w:eastAsia="仿宋_GB2312"/>
                <w:b/>
                <w:kern w:val="0"/>
                <w:sz w:val="28"/>
              </w:rPr>
            </w:pPr>
            <w:r>
              <w:rPr>
                <w:rFonts w:hint="eastAsia" w:ascii="仿宋_GB2312" w:eastAsia="仿宋_GB2312"/>
                <w:b/>
                <w:kern w:val="0"/>
                <w:sz w:val="28"/>
              </w:rPr>
              <w:t>风险</w:t>
            </w:r>
          </w:p>
          <w:p>
            <w:pPr>
              <w:widowControl/>
              <w:adjustRightInd w:val="0"/>
              <w:spacing w:line="336" w:lineRule="auto"/>
              <w:jc w:val="center"/>
              <w:rPr>
                <w:rFonts w:ascii="仿宋_GB2312" w:eastAsia="仿宋_GB2312"/>
                <w:b/>
                <w:kern w:val="0"/>
                <w:sz w:val="28"/>
              </w:rPr>
            </w:pPr>
            <w:r>
              <w:rPr>
                <w:rFonts w:hint="eastAsia" w:ascii="仿宋_GB2312" w:eastAsia="仿宋_GB2312"/>
                <w:b/>
                <w:kern w:val="0"/>
                <w:sz w:val="28"/>
              </w:rPr>
              <w:t>类型</w:t>
            </w:r>
          </w:p>
        </w:tc>
        <w:tc>
          <w:tcPr>
            <w:tcW w:w="7740" w:type="dxa"/>
            <w:vAlign w:val="center"/>
          </w:tcPr>
          <w:p>
            <w:pPr>
              <w:widowControl/>
              <w:adjustRightInd w:val="0"/>
              <w:spacing w:line="336" w:lineRule="auto"/>
              <w:jc w:val="center"/>
              <w:rPr>
                <w:rFonts w:ascii="仿宋_GB2312" w:eastAsia="仿宋_GB2312"/>
                <w:b/>
                <w:kern w:val="0"/>
                <w:sz w:val="28"/>
              </w:rPr>
            </w:pPr>
            <w:r>
              <w:rPr>
                <w:rFonts w:hint="eastAsia" w:ascii="仿宋_GB2312" w:eastAsia="仿宋_GB2312"/>
                <w:b/>
                <w:kern w:val="0"/>
                <w:sz w:val="28"/>
              </w:rPr>
              <w:t>风险描述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80" w:hRule="atLeast"/>
        </w:trPr>
        <w:tc>
          <w:tcPr>
            <w:tcW w:w="1003" w:type="dxa"/>
            <w:tcBorders>
              <w:top w:val="single" w:color="auto" w:sz="4" w:space="0"/>
              <w:left w:val="single" w:color="auto" w:sz="4" w:space="0"/>
              <w:right w:val="single" w:color="auto" w:sz="4" w:space="0"/>
            </w:tcBorders>
            <w:vAlign w:val="center"/>
          </w:tcPr>
          <w:p>
            <w:pPr>
              <w:widowControl/>
              <w:adjustRightInd w:val="0"/>
              <w:spacing w:line="336" w:lineRule="auto"/>
              <w:jc w:val="center"/>
              <w:rPr>
                <w:rFonts w:ascii="仿宋_GB2312" w:eastAsia="仿宋_GB2312"/>
                <w:kern w:val="0"/>
                <w:sz w:val="24"/>
              </w:rPr>
            </w:pPr>
            <w:r>
              <w:rPr>
                <w:rFonts w:hint="eastAsia" w:ascii="PMingLiU" w:eastAsia="PMingLiU"/>
              </w:rPr>
              <w:t>□</w:t>
            </w:r>
          </w:p>
        </w:tc>
        <w:tc>
          <w:tcPr>
            <w:tcW w:w="797" w:type="dxa"/>
            <w:tcBorders>
              <w:top w:val="single" w:color="auto" w:sz="4" w:space="0"/>
              <w:left w:val="single" w:color="auto" w:sz="4" w:space="0"/>
              <w:bottom w:val="single" w:color="auto" w:sz="4" w:space="0"/>
              <w:right w:val="single" w:color="auto" w:sz="4" w:space="0"/>
            </w:tcBorders>
            <w:vAlign w:val="center"/>
          </w:tcPr>
          <w:p>
            <w:pPr>
              <w:widowControl/>
              <w:adjustRightInd w:val="0"/>
              <w:spacing w:line="336" w:lineRule="auto"/>
              <w:jc w:val="center"/>
              <w:rPr>
                <w:rFonts w:ascii="仿宋_GB2312" w:eastAsia="仿宋_GB2312"/>
                <w:b/>
                <w:kern w:val="0"/>
                <w:sz w:val="28"/>
              </w:rPr>
            </w:pPr>
            <w:r>
              <w:rPr>
                <w:rFonts w:hint="eastAsia" w:ascii="仿宋_GB2312" w:eastAsia="仿宋_GB2312"/>
                <w:b/>
                <w:kern w:val="0"/>
                <w:sz w:val="28"/>
              </w:rPr>
              <w:t>规则</w:t>
            </w:r>
          </w:p>
          <w:p>
            <w:pPr>
              <w:widowControl/>
              <w:adjustRightInd w:val="0"/>
              <w:spacing w:line="336" w:lineRule="auto"/>
              <w:jc w:val="center"/>
              <w:rPr>
                <w:rFonts w:ascii="仿宋_GB2312" w:eastAsia="仿宋_GB2312"/>
                <w:kern w:val="0"/>
                <w:sz w:val="24"/>
              </w:rPr>
            </w:pPr>
            <w:r>
              <w:rPr>
                <w:rFonts w:hint="eastAsia" w:ascii="仿宋_GB2312" w:eastAsia="仿宋_GB2312"/>
                <w:b/>
                <w:kern w:val="0"/>
                <w:sz w:val="28"/>
              </w:rPr>
              <w:t>差异</w:t>
            </w:r>
          </w:p>
          <w:p>
            <w:pPr>
              <w:adjustRightInd w:val="0"/>
              <w:spacing w:line="336" w:lineRule="auto"/>
              <w:jc w:val="center"/>
              <w:rPr>
                <w:rFonts w:ascii="仿宋_GB2312" w:eastAsia="仿宋_GB2312"/>
                <w:b/>
                <w:kern w:val="0"/>
                <w:sz w:val="28"/>
              </w:rPr>
            </w:pPr>
            <w:r>
              <w:rPr>
                <w:rFonts w:hint="eastAsia" w:ascii="仿宋_GB2312" w:eastAsia="仿宋_GB2312"/>
                <w:b/>
                <w:kern w:val="0"/>
                <w:sz w:val="28"/>
              </w:rPr>
              <w:t>可能带来的风险</w:t>
            </w:r>
          </w:p>
        </w:tc>
        <w:tc>
          <w:tcPr>
            <w:tcW w:w="7740" w:type="dxa"/>
            <w:tcBorders>
              <w:top w:val="single" w:color="auto" w:sz="4" w:space="0"/>
              <w:left w:val="single" w:color="auto" w:sz="4" w:space="0"/>
              <w:bottom w:val="single" w:color="auto" w:sz="4" w:space="0"/>
              <w:right w:val="single" w:color="auto" w:sz="4" w:space="0"/>
            </w:tcBorders>
          </w:tcPr>
          <w:p>
            <w:pPr>
              <w:widowControl/>
              <w:adjustRightInd w:val="0"/>
              <w:spacing w:line="336" w:lineRule="auto"/>
              <w:ind w:left="3" w:hanging="2" w:hangingChars="1"/>
              <w:jc w:val="left"/>
              <w:rPr>
                <w:rFonts w:ascii="仿宋_GB2312" w:eastAsia="仿宋_GB2312"/>
                <w:b/>
                <w:kern w:val="0"/>
                <w:sz w:val="28"/>
                <w:szCs w:val="28"/>
              </w:rPr>
            </w:pPr>
            <w:r>
              <w:rPr>
                <w:rFonts w:hint="eastAsia" w:ascii="仿宋_GB2312" w:eastAsia="仿宋_GB2312"/>
                <w:kern w:val="0"/>
                <w:sz w:val="28"/>
                <w:szCs w:val="28"/>
              </w:rPr>
              <w:t xml:space="preserve">    </w:t>
            </w:r>
            <w:r>
              <w:rPr>
                <w:rFonts w:hint="eastAsia" w:ascii="仿宋_GB2312" w:eastAsia="仿宋_GB2312"/>
                <w:b/>
                <w:kern w:val="0"/>
                <w:sz w:val="28"/>
                <w:szCs w:val="28"/>
              </w:rPr>
              <w:t>我国创业板市场与现有主板市场在制度和规则等方面有一定的差异，如认知不到位，可能给投资者造成投资风险。包括但不限于：</w:t>
            </w:r>
          </w:p>
          <w:p>
            <w:pPr>
              <w:widowControl/>
              <w:adjustRightInd w:val="0"/>
              <w:spacing w:line="336" w:lineRule="auto"/>
              <w:ind w:left="3" w:hanging="2" w:hangingChars="1"/>
              <w:jc w:val="left"/>
              <w:rPr>
                <w:rFonts w:ascii="仿宋_GB2312" w:eastAsia="仿宋_GB2312"/>
                <w:b/>
                <w:kern w:val="0"/>
                <w:sz w:val="28"/>
                <w:szCs w:val="28"/>
              </w:rPr>
            </w:pPr>
            <w:r>
              <w:rPr>
                <w:rFonts w:hint="eastAsia" w:ascii="仿宋_GB2312" w:eastAsia="仿宋_GB2312"/>
                <w:kern w:val="0"/>
                <w:sz w:val="28"/>
                <w:szCs w:val="28"/>
              </w:rPr>
              <w:t xml:space="preserve">    （</w:t>
            </w:r>
            <w:r>
              <w:rPr>
                <w:rFonts w:hint="eastAsia" w:ascii="仿宋_GB2312" w:eastAsia="仿宋_GB2312"/>
                <w:b/>
                <w:kern w:val="0"/>
                <w:sz w:val="28"/>
                <w:szCs w:val="28"/>
              </w:rPr>
              <w:t>一）创业板市场股票首次公开发行并上市的条件与主板市场存在较大差异。创业板市场股票发行人申请股票在创业板上市的基本条件是：</w:t>
            </w:r>
          </w:p>
          <w:p>
            <w:pPr>
              <w:widowControl/>
              <w:adjustRightInd w:val="0"/>
              <w:spacing w:line="336" w:lineRule="auto"/>
              <w:ind w:left="3" w:hanging="2" w:hangingChars="1"/>
              <w:jc w:val="left"/>
              <w:rPr>
                <w:rFonts w:ascii="仿宋_GB2312" w:eastAsia="仿宋_GB2312"/>
                <w:kern w:val="0"/>
                <w:sz w:val="28"/>
                <w:szCs w:val="28"/>
              </w:rPr>
            </w:pPr>
            <w:r>
              <w:rPr>
                <w:rFonts w:hint="eastAsia" w:ascii="仿宋_GB2312" w:eastAsia="仿宋_GB2312"/>
                <w:kern w:val="0"/>
                <w:sz w:val="28"/>
                <w:szCs w:val="28"/>
              </w:rPr>
              <w:t xml:space="preserve">    1、股票已公开发行；</w:t>
            </w:r>
          </w:p>
          <w:p>
            <w:pPr>
              <w:widowControl/>
              <w:adjustRightInd w:val="0"/>
              <w:spacing w:line="336" w:lineRule="auto"/>
              <w:ind w:left="2" w:leftChars="1" w:firstLine="560" w:firstLineChars="200"/>
              <w:jc w:val="left"/>
              <w:rPr>
                <w:rFonts w:ascii="仿宋_GB2312" w:eastAsia="仿宋_GB2312"/>
                <w:kern w:val="0"/>
                <w:sz w:val="28"/>
                <w:szCs w:val="28"/>
              </w:rPr>
            </w:pPr>
            <w:r>
              <w:rPr>
                <w:rFonts w:hint="eastAsia" w:ascii="仿宋_GB2312" w:eastAsia="仿宋_GB2312"/>
                <w:kern w:val="0"/>
                <w:sz w:val="28"/>
                <w:szCs w:val="28"/>
              </w:rPr>
              <w:t>2、公司股本总额不少于</w:t>
            </w:r>
            <w:r>
              <w:rPr>
                <w:rFonts w:ascii="仿宋_GB2312" w:eastAsia="仿宋_GB2312"/>
                <w:kern w:val="0"/>
                <w:sz w:val="28"/>
                <w:szCs w:val="28"/>
              </w:rPr>
              <w:t>3000</w:t>
            </w:r>
            <w:r>
              <w:rPr>
                <w:rFonts w:hint="eastAsia" w:ascii="仿宋_GB2312" w:eastAsia="仿宋_GB2312"/>
                <w:kern w:val="0"/>
                <w:sz w:val="28"/>
                <w:szCs w:val="28"/>
              </w:rPr>
              <w:t>万元；</w:t>
            </w:r>
          </w:p>
          <w:p>
            <w:pPr>
              <w:widowControl/>
              <w:adjustRightInd w:val="0"/>
              <w:spacing w:line="336" w:lineRule="auto"/>
              <w:ind w:left="2" w:leftChars="1" w:firstLine="560" w:firstLineChars="200"/>
              <w:jc w:val="left"/>
              <w:rPr>
                <w:rFonts w:ascii="仿宋_GB2312" w:eastAsia="仿宋_GB2312"/>
                <w:kern w:val="0"/>
                <w:sz w:val="28"/>
                <w:szCs w:val="28"/>
              </w:rPr>
            </w:pPr>
            <w:r>
              <w:rPr>
                <w:rFonts w:hint="eastAsia" w:ascii="仿宋_GB2312" w:eastAsia="仿宋_GB2312"/>
                <w:kern w:val="0"/>
                <w:sz w:val="28"/>
                <w:szCs w:val="28"/>
              </w:rPr>
              <w:t>3、公开发行的股份达到公司股份总数的</w:t>
            </w:r>
            <w:r>
              <w:rPr>
                <w:rFonts w:ascii="仿宋_GB2312" w:eastAsia="仿宋_GB2312"/>
                <w:kern w:val="0"/>
                <w:sz w:val="28"/>
                <w:szCs w:val="28"/>
              </w:rPr>
              <w:t>25%</w:t>
            </w:r>
            <w:r>
              <w:rPr>
                <w:rFonts w:hint="eastAsia" w:ascii="仿宋_GB2312" w:eastAsia="仿宋_GB2312"/>
                <w:kern w:val="0"/>
                <w:sz w:val="28"/>
                <w:szCs w:val="28"/>
              </w:rPr>
              <w:t>以上；公司股本总额超过人民币四亿元的，公开发行股份的比例为</w:t>
            </w:r>
            <w:r>
              <w:rPr>
                <w:rFonts w:ascii="仿宋_GB2312" w:eastAsia="仿宋_GB2312"/>
                <w:kern w:val="0"/>
                <w:sz w:val="28"/>
                <w:szCs w:val="28"/>
              </w:rPr>
              <w:t>10%</w:t>
            </w:r>
            <w:r>
              <w:rPr>
                <w:rFonts w:hint="eastAsia" w:ascii="仿宋_GB2312" w:eastAsia="仿宋_GB2312"/>
                <w:kern w:val="0"/>
                <w:sz w:val="28"/>
                <w:szCs w:val="28"/>
              </w:rPr>
              <w:t>以上；</w:t>
            </w:r>
          </w:p>
          <w:p>
            <w:pPr>
              <w:widowControl/>
              <w:adjustRightInd w:val="0"/>
              <w:spacing w:line="336" w:lineRule="auto"/>
              <w:ind w:left="2" w:leftChars="1" w:firstLine="560" w:firstLineChars="200"/>
              <w:jc w:val="left"/>
              <w:rPr>
                <w:rFonts w:ascii="仿宋_GB2312" w:eastAsia="仿宋_GB2312"/>
                <w:kern w:val="0"/>
                <w:sz w:val="28"/>
                <w:szCs w:val="28"/>
              </w:rPr>
            </w:pPr>
            <w:r>
              <w:rPr>
                <w:rFonts w:hint="eastAsia" w:ascii="仿宋_GB2312" w:eastAsia="仿宋_GB2312"/>
                <w:kern w:val="0"/>
                <w:sz w:val="28"/>
                <w:szCs w:val="28"/>
              </w:rPr>
              <w:t>4、公司股东人数不少于</w:t>
            </w:r>
            <w:r>
              <w:rPr>
                <w:rFonts w:ascii="仿宋_GB2312" w:eastAsia="仿宋_GB2312"/>
                <w:kern w:val="0"/>
                <w:sz w:val="28"/>
                <w:szCs w:val="28"/>
              </w:rPr>
              <w:t>200</w:t>
            </w:r>
            <w:r>
              <w:rPr>
                <w:rFonts w:hint="eastAsia" w:ascii="仿宋_GB2312" w:eastAsia="仿宋_GB2312"/>
                <w:kern w:val="0"/>
                <w:sz w:val="28"/>
                <w:szCs w:val="28"/>
              </w:rPr>
              <w:t>人；</w:t>
            </w:r>
          </w:p>
          <w:p>
            <w:pPr>
              <w:widowControl/>
              <w:adjustRightInd w:val="0"/>
              <w:spacing w:line="336" w:lineRule="auto"/>
              <w:ind w:left="2" w:leftChars="1" w:firstLine="560" w:firstLineChars="200"/>
              <w:jc w:val="left"/>
              <w:rPr>
                <w:rFonts w:ascii="仿宋_GB2312" w:eastAsia="仿宋_GB2312"/>
                <w:kern w:val="0"/>
                <w:sz w:val="28"/>
                <w:szCs w:val="28"/>
              </w:rPr>
            </w:pPr>
            <w:r>
              <w:rPr>
                <w:rFonts w:hint="eastAsia" w:ascii="仿宋_GB2312" w:eastAsia="仿宋_GB2312"/>
                <w:kern w:val="0"/>
                <w:sz w:val="28"/>
                <w:szCs w:val="28"/>
              </w:rPr>
              <w:t>5、公司最近三年无重大违法行为，财务会计报告无虚假记载；</w:t>
            </w:r>
          </w:p>
          <w:p>
            <w:pPr>
              <w:widowControl/>
              <w:adjustRightInd w:val="0"/>
              <w:spacing w:line="336" w:lineRule="auto"/>
              <w:ind w:left="2" w:leftChars="1" w:firstLine="560" w:firstLineChars="200"/>
              <w:jc w:val="left"/>
              <w:rPr>
                <w:rFonts w:ascii="仿宋_GB2312" w:eastAsia="仿宋_GB2312"/>
                <w:kern w:val="0"/>
                <w:sz w:val="28"/>
                <w:szCs w:val="28"/>
              </w:rPr>
            </w:pPr>
            <w:r>
              <w:rPr>
                <w:rFonts w:hint="eastAsia" w:ascii="仿宋_GB2312" w:eastAsia="仿宋_GB2312"/>
                <w:kern w:val="0"/>
                <w:sz w:val="28"/>
                <w:szCs w:val="28"/>
              </w:rPr>
              <w:t>6、深圳证券交易所要求的其他条件。</w:t>
            </w:r>
          </w:p>
          <w:p>
            <w:pPr>
              <w:adjustRightInd w:val="0"/>
              <w:spacing w:line="336" w:lineRule="auto"/>
              <w:ind w:firstLine="562" w:firstLineChars="200"/>
              <w:jc w:val="left"/>
              <w:rPr>
                <w:rFonts w:ascii="仿宋_GB2312" w:eastAsia="仿宋_GB2312"/>
                <w:sz w:val="28"/>
                <w:szCs w:val="28"/>
              </w:rPr>
            </w:pPr>
            <w:r>
              <w:rPr>
                <w:rFonts w:hint="eastAsia" w:ascii="仿宋_GB2312" w:eastAsia="仿宋_GB2312"/>
                <w:b/>
                <w:sz w:val="28"/>
                <w:szCs w:val="28"/>
              </w:rPr>
              <w:t>（二）创业板</w:t>
            </w:r>
            <w:r>
              <w:rPr>
                <w:rFonts w:hint="eastAsia" w:ascii="仿宋_GB2312" w:eastAsia="仿宋_GB2312"/>
                <w:b/>
                <w:kern w:val="0"/>
                <w:sz w:val="28"/>
                <w:szCs w:val="28"/>
              </w:rPr>
              <w:t>市场</w:t>
            </w:r>
            <w:r>
              <w:rPr>
                <w:rFonts w:hint="eastAsia" w:ascii="仿宋_GB2312" w:eastAsia="仿宋_GB2312"/>
                <w:b/>
                <w:sz w:val="28"/>
                <w:szCs w:val="28"/>
              </w:rPr>
              <w:t>信息披露规则与主板</w:t>
            </w:r>
            <w:r>
              <w:rPr>
                <w:rFonts w:hint="eastAsia" w:ascii="仿宋_GB2312" w:eastAsia="仿宋_GB2312"/>
                <w:b/>
                <w:kern w:val="0"/>
                <w:sz w:val="28"/>
                <w:szCs w:val="28"/>
              </w:rPr>
              <w:t>市场</w:t>
            </w:r>
            <w:r>
              <w:rPr>
                <w:rFonts w:hint="eastAsia" w:ascii="仿宋_GB2312" w:eastAsia="仿宋_GB2312"/>
                <w:b/>
                <w:sz w:val="28"/>
                <w:szCs w:val="28"/>
              </w:rPr>
              <w:t>存在较大差异。</w:t>
            </w:r>
            <w:r>
              <w:rPr>
                <w:rFonts w:hint="eastAsia" w:ascii="仿宋_GB2312" w:eastAsia="仿宋_GB2312"/>
                <w:sz w:val="28"/>
                <w:szCs w:val="28"/>
              </w:rPr>
              <w:t>例如，创业板市场临时报告仅要求在证监会指定网站和公司网站上披露。如果投资者继续沿用主板</w:t>
            </w:r>
            <w:r>
              <w:rPr>
                <w:rFonts w:hint="eastAsia" w:ascii="仿宋_GB2312" w:eastAsia="仿宋_GB2312"/>
                <w:kern w:val="0"/>
                <w:sz w:val="28"/>
                <w:szCs w:val="28"/>
              </w:rPr>
              <w:t>市场</w:t>
            </w:r>
            <w:r>
              <w:rPr>
                <w:rFonts w:hint="eastAsia" w:ascii="仿宋_GB2312" w:eastAsia="仿宋_GB2312"/>
                <w:sz w:val="28"/>
                <w:szCs w:val="28"/>
              </w:rPr>
              <w:t>信息查询渠道的做法，可能无法及时了解到公司所披露信息的内容，进而无法知悉公司正在发生或可能发生的变动。</w:t>
            </w:r>
          </w:p>
          <w:p>
            <w:pPr>
              <w:adjustRightInd w:val="0"/>
              <w:spacing w:line="336" w:lineRule="auto"/>
              <w:ind w:firstLine="562" w:firstLineChars="200"/>
              <w:jc w:val="left"/>
              <w:rPr>
                <w:rFonts w:ascii="仿宋_GB2312" w:eastAsia="仿宋_GB2312"/>
                <w:b/>
                <w:sz w:val="28"/>
                <w:szCs w:val="28"/>
              </w:rPr>
            </w:pPr>
            <w:r>
              <w:rPr>
                <w:rFonts w:hint="eastAsia" w:ascii="仿宋_GB2312" w:eastAsia="仿宋_GB2312"/>
                <w:b/>
                <w:sz w:val="28"/>
                <w:szCs w:val="28"/>
              </w:rPr>
              <w:t>（三）创业板市场上市公司退市制度较主板市场更为严格。</w:t>
            </w:r>
          </w:p>
          <w:p>
            <w:pPr>
              <w:adjustRightInd w:val="0"/>
              <w:spacing w:line="336" w:lineRule="auto"/>
              <w:ind w:firstLine="562" w:firstLineChars="200"/>
              <w:jc w:val="left"/>
              <w:rPr>
                <w:rFonts w:ascii="仿宋_GB2312" w:eastAsia="仿宋_GB2312"/>
                <w:sz w:val="28"/>
                <w:szCs w:val="28"/>
              </w:rPr>
            </w:pPr>
            <w:r>
              <w:rPr>
                <w:rFonts w:hint="eastAsia" w:ascii="仿宋_GB2312" w:eastAsia="仿宋_GB2312"/>
                <w:b/>
                <w:sz w:val="28"/>
                <w:szCs w:val="28"/>
              </w:rPr>
              <w:t>（四）其他发行、上市、交易、信息披露等方面的规则差异。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03" w:type="dxa"/>
            <w:vAlign w:val="center"/>
          </w:tcPr>
          <w:p>
            <w:pPr>
              <w:widowControl/>
              <w:adjustRightInd w:val="0"/>
              <w:spacing w:line="336" w:lineRule="auto"/>
              <w:jc w:val="center"/>
              <w:rPr>
                <w:rFonts w:ascii="仿宋_GB2312" w:eastAsia="仿宋_GB2312"/>
                <w:kern w:val="0"/>
                <w:sz w:val="24"/>
              </w:rPr>
            </w:pPr>
            <w:r>
              <w:rPr>
                <w:rFonts w:hint="eastAsia" w:ascii="PMingLiU" w:eastAsia="PMingLiU"/>
              </w:rPr>
              <w:t>□</w:t>
            </w:r>
          </w:p>
        </w:tc>
        <w:tc>
          <w:tcPr>
            <w:tcW w:w="797" w:type="dxa"/>
            <w:vAlign w:val="center"/>
          </w:tcPr>
          <w:p>
            <w:pPr>
              <w:widowControl/>
              <w:adjustRightInd w:val="0"/>
              <w:spacing w:line="336" w:lineRule="auto"/>
              <w:jc w:val="center"/>
              <w:rPr>
                <w:rFonts w:ascii="仿宋_GB2312" w:eastAsia="仿宋_GB2312"/>
                <w:b/>
                <w:kern w:val="0"/>
                <w:sz w:val="28"/>
              </w:rPr>
            </w:pPr>
            <w:r>
              <w:rPr>
                <w:rFonts w:hint="eastAsia" w:ascii="仿宋_GB2312" w:eastAsia="仿宋_GB2312"/>
                <w:b/>
                <w:kern w:val="0"/>
                <w:sz w:val="28"/>
              </w:rPr>
              <w:t>退市</w:t>
            </w:r>
          </w:p>
          <w:p>
            <w:pPr>
              <w:widowControl/>
              <w:adjustRightInd w:val="0"/>
              <w:spacing w:line="336" w:lineRule="auto"/>
              <w:jc w:val="center"/>
              <w:rPr>
                <w:rFonts w:ascii="仿宋_GB2312" w:eastAsia="仿宋_GB2312"/>
                <w:kern w:val="0"/>
                <w:sz w:val="24"/>
              </w:rPr>
            </w:pPr>
            <w:r>
              <w:rPr>
                <w:rFonts w:hint="eastAsia" w:ascii="仿宋_GB2312" w:eastAsia="仿宋_GB2312"/>
                <w:b/>
                <w:kern w:val="0"/>
                <w:sz w:val="28"/>
              </w:rPr>
              <w:t>风险</w:t>
            </w:r>
          </w:p>
        </w:tc>
        <w:tc>
          <w:tcPr>
            <w:tcW w:w="7740" w:type="dxa"/>
          </w:tcPr>
          <w:p>
            <w:pPr>
              <w:widowControl/>
              <w:adjustRightInd w:val="0"/>
              <w:spacing w:line="336" w:lineRule="auto"/>
              <w:ind w:left="3" w:hanging="2" w:hangingChars="1"/>
              <w:jc w:val="left"/>
              <w:rPr>
                <w:rFonts w:ascii="仿宋_GB2312" w:eastAsia="仿宋_GB2312"/>
                <w:kern w:val="0"/>
                <w:sz w:val="28"/>
                <w:szCs w:val="28"/>
              </w:rPr>
            </w:pPr>
            <w:r>
              <w:rPr>
                <w:rFonts w:hint="eastAsia" w:ascii="仿宋_GB2312" w:eastAsia="仿宋_GB2312"/>
                <w:kern w:val="0"/>
                <w:sz w:val="28"/>
                <w:szCs w:val="28"/>
              </w:rPr>
              <w:t xml:space="preserve">   </w:t>
            </w:r>
            <w:r>
              <w:rPr>
                <w:rFonts w:hint="eastAsia" w:ascii="仿宋_GB2312" w:eastAsia="仿宋_GB2312"/>
                <w:b/>
                <w:kern w:val="0"/>
                <w:sz w:val="28"/>
                <w:szCs w:val="28"/>
              </w:rPr>
              <w:t xml:space="preserve"> 创业板市场上市公司退市制度设计较主板市场更为严格，</w:t>
            </w:r>
            <w:r>
              <w:rPr>
                <w:rFonts w:hint="eastAsia" w:ascii="仿宋_GB2312" w:eastAsia="仿宋_GB2312"/>
                <w:kern w:val="0"/>
                <w:sz w:val="28"/>
                <w:szCs w:val="28"/>
              </w:rPr>
              <w:t>主要区别有：</w:t>
            </w:r>
          </w:p>
          <w:p>
            <w:pPr>
              <w:widowControl/>
              <w:adjustRightInd w:val="0"/>
              <w:spacing w:line="336" w:lineRule="auto"/>
              <w:ind w:left="3" w:firstLine="560" w:firstLineChars="200"/>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（一）创业板将不再实施“退市风险警示处理”措施，因而创业板不再有ST股票。</w:t>
            </w:r>
          </w:p>
          <w:p>
            <w:pPr>
              <w:widowControl/>
              <w:adjustRightInd w:val="0"/>
              <w:spacing w:line="360" w:lineRule="auto"/>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    （二）深交所为即将终止上市的创业板股票新设了“退市整理期” 和“退市整理板”。在深交所做出公司股票终止上市决定后以及公司股票终止上市前，给予30个交易日的股票交易时间（即为“退市整理期”），同时设立“退市整理板”，将进入“退市整理期”的股票集中到“退市整理板”进行交易，且维持10%的涨跌幅限制。行情上实行另板揭示，不再与其他创业板公司股票一同显示行情。</w:t>
            </w:r>
          </w:p>
          <w:p>
            <w:pPr>
              <w:widowControl/>
              <w:adjustRightInd w:val="0"/>
              <w:spacing w:line="336" w:lineRule="auto"/>
              <w:ind w:left="3" w:hanging="2" w:hangingChars="1"/>
              <w:jc w:val="left"/>
              <w:rPr>
                <w:rFonts w:ascii="仿宋_GB2312" w:eastAsia="仿宋_GB2312"/>
                <w:kern w:val="0"/>
                <w:sz w:val="28"/>
                <w:szCs w:val="28"/>
              </w:rPr>
            </w:pPr>
            <w:r>
              <w:rPr>
                <w:rFonts w:hint="eastAsia" w:ascii="仿宋_GB2312" w:hAnsi="仿宋_GB2312" w:eastAsia="仿宋_GB2312" w:cs="仿宋_GB2312"/>
                <w:sz w:val="28"/>
                <w:szCs w:val="28"/>
              </w:rPr>
              <w:t xml:space="preserve">    （三）退市整理期届满，上市公司股票终止上市，进入代办股份系统转让。</w:t>
            </w:r>
          </w:p>
          <w:p>
            <w:pPr>
              <w:widowControl/>
              <w:adjustRightInd w:val="0"/>
              <w:spacing w:line="336" w:lineRule="auto"/>
              <w:ind w:left="3" w:hanging="2" w:hangingChars="1"/>
              <w:jc w:val="left"/>
              <w:rPr>
                <w:rFonts w:ascii="仿宋_GB2312" w:eastAsia="仿宋_GB2312"/>
                <w:kern w:val="0"/>
                <w:sz w:val="28"/>
                <w:szCs w:val="28"/>
              </w:rPr>
            </w:pPr>
            <w:r>
              <w:rPr>
                <w:rFonts w:hint="eastAsia" w:ascii="仿宋_GB2312" w:eastAsia="仿宋_GB2312"/>
                <w:kern w:val="0"/>
                <w:sz w:val="28"/>
                <w:szCs w:val="28"/>
              </w:rPr>
              <w:t xml:space="preserve">    （</w:t>
            </w:r>
            <w:r>
              <w:rPr>
                <w:rFonts w:hint="eastAsia" w:ascii="仿宋_GB2312" w:eastAsia="仿宋_GB2312"/>
                <w:b/>
                <w:kern w:val="0"/>
                <w:sz w:val="28"/>
                <w:szCs w:val="28"/>
              </w:rPr>
              <w:t>四）针对创业板市场上市公司的风险特征，构建了多元化的退市标准体系，增加了五种退市情形（详见《深圳证券交易所创业板股票上市规则》）。</w:t>
            </w:r>
          </w:p>
          <w:p>
            <w:pPr>
              <w:widowControl/>
              <w:adjustRightInd w:val="0"/>
              <w:spacing w:line="336" w:lineRule="auto"/>
              <w:ind w:left="3" w:hanging="2" w:hangingChars="1"/>
              <w:jc w:val="left"/>
              <w:rPr>
                <w:rFonts w:ascii="仿宋_GB2312" w:eastAsia="仿宋_GB2312"/>
                <w:kern w:val="0"/>
                <w:sz w:val="28"/>
                <w:szCs w:val="28"/>
              </w:rPr>
            </w:pPr>
            <w:r>
              <w:rPr>
                <w:rFonts w:hint="eastAsia" w:ascii="仿宋_GB2312" w:eastAsia="仿宋_GB2312"/>
                <w:kern w:val="0"/>
                <w:sz w:val="28"/>
                <w:szCs w:val="28"/>
              </w:rPr>
              <w:t xml:space="preserve">    （</w:t>
            </w:r>
            <w:r>
              <w:rPr>
                <w:rFonts w:hint="eastAsia" w:ascii="仿宋_GB2312" w:eastAsia="仿宋_GB2312"/>
                <w:b/>
                <w:kern w:val="0"/>
                <w:sz w:val="28"/>
                <w:szCs w:val="28"/>
              </w:rPr>
              <w:t>五）为提高市场运作效率，避免无意义的长时间停牌，创业板市场将对五种退市情形启动快速退市程序，缩短退市时间。</w:t>
            </w:r>
          </w:p>
          <w:p>
            <w:pPr>
              <w:widowControl/>
              <w:adjustRightInd w:val="0"/>
              <w:spacing w:line="336" w:lineRule="auto"/>
              <w:ind w:left="3" w:hanging="2" w:hangingChars="1"/>
              <w:jc w:val="left"/>
              <w:rPr>
                <w:rFonts w:ascii="仿宋_GB2312" w:eastAsia="仿宋_GB2312"/>
                <w:kern w:val="0"/>
                <w:sz w:val="28"/>
                <w:szCs w:val="28"/>
              </w:rPr>
            </w:pPr>
            <w:r>
              <w:rPr>
                <w:rFonts w:hint="eastAsia" w:ascii="仿宋_GB2312" w:eastAsia="仿宋_GB2312"/>
                <w:kern w:val="0"/>
                <w:sz w:val="28"/>
                <w:szCs w:val="28"/>
              </w:rPr>
              <w:t xml:space="preserve">    因此，与主板市场相比，可能导致创业板市场上市公司退市的情形更多，退市速度可能更快</w:t>
            </w:r>
            <w:r>
              <w:rPr>
                <w:rFonts w:hint="eastAsia" w:ascii="仿宋_GB2312" w:eastAsia="仿宋_GB2312"/>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03" w:type="dxa"/>
            <w:vAlign w:val="center"/>
          </w:tcPr>
          <w:p>
            <w:pPr>
              <w:widowControl/>
              <w:adjustRightInd w:val="0"/>
              <w:spacing w:line="336" w:lineRule="auto"/>
              <w:jc w:val="center"/>
              <w:rPr>
                <w:rFonts w:ascii="仿宋_GB2312" w:eastAsia="仿宋_GB2312"/>
                <w:kern w:val="0"/>
                <w:sz w:val="24"/>
              </w:rPr>
            </w:pPr>
            <w:r>
              <w:rPr>
                <w:rFonts w:hint="eastAsia" w:ascii="PMingLiU"/>
              </w:rPr>
              <w:t xml:space="preserve"> </w:t>
            </w:r>
            <w:r>
              <w:rPr>
                <w:rFonts w:hint="eastAsia" w:ascii="PMingLiU" w:eastAsia="PMingLiU"/>
              </w:rPr>
              <w:t>□</w:t>
            </w:r>
          </w:p>
        </w:tc>
        <w:tc>
          <w:tcPr>
            <w:tcW w:w="797" w:type="dxa"/>
            <w:vAlign w:val="center"/>
          </w:tcPr>
          <w:p>
            <w:pPr>
              <w:widowControl/>
              <w:adjustRightInd w:val="0"/>
              <w:spacing w:line="336" w:lineRule="auto"/>
              <w:jc w:val="center"/>
              <w:rPr>
                <w:rFonts w:ascii="仿宋_GB2312" w:eastAsia="仿宋_GB2312"/>
                <w:kern w:val="0"/>
                <w:sz w:val="24"/>
              </w:rPr>
            </w:pPr>
            <w:r>
              <w:rPr>
                <w:rFonts w:hint="eastAsia" w:ascii="仿宋_GB2312" w:eastAsia="仿宋_GB2312"/>
                <w:b/>
                <w:sz w:val="28"/>
              </w:rPr>
              <w:t>公司经营风险</w:t>
            </w:r>
          </w:p>
        </w:tc>
        <w:tc>
          <w:tcPr>
            <w:tcW w:w="7740" w:type="dxa"/>
          </w:tcPr>
          <w:p>
            <w:pPr>
              <w:widowControl/>
              <w:adjustRightInd w:val="0"/>
              <w:spacing w:line="336" w:lineRule="auto"/>
              <w:ind w:firstLine="560" w:firstLineChars="200"/>
              <w:jc w:val="left"/>
              <w:rPr>
                <w:rFonts w:ascii="仿宋_GB2312" w:eastAsia="仿宋_GB2312"/>
                <w:sz w:val="28"/>
                <w:szCs w:val="28"/>
              </w:rPr>
            </w:pPr>
            <w:r>
              <w:rPr>
                <w:rFonts w:hint="eastAsia" w:ascii="仿宋_GB2312" w:eastAsia="仿宋_GB2312"/>
                <w:sz w:val="28"/>
                <w:szCs w:val="28"/>
              </w:rPr>
              <w:t>与主板</w:t>
            </w:r>
            <w:r>
              <w:rPr>
                <w:rFonts w:hint="eastAsia" w:ascii="仿宋_GB2312" w:eastAsia="仿宋_GB2312"/>
                <w:kern w:val="0"/>
                <w:sz w:val="28"/>
                <w:szCs w:val="28"/>
              </w:rPr>
              <w:t>市场</w:t>
            </w:r>
            <w:r>
              <w:rPr>
                <w:rFonts w:hint="eastAsia" w:ascii="仿宋_GB2312" w:eastAsia="仿宋_GB2312"/>
                <w:sz w:val="28"/>
                <w:szCs w:val="28"/>
              </w:rPr>
              <w:t>上市公司相比，创业板</w:t>
            </w:r>
            <w:r>
              <w:rPr>
                <w:rFonts w:hint="eastAsia" w:ascii="仿宋_GB2312" w:eastAsia="仿宋_GB2312"/>
                <w:kern w:val="0"/>
                <w:sz w:val="28"/>
                <w:szCs w:val="28"/>
              </w:rPr>
              <w:t>市场</w:t>
            </w:r>
            <w:r>
              <w:rPr>
                <w:rFonts w:hint="eastAsia" w:ascii="仿宋_GB2312" w:eastAsia="仿宋_GB2312"/>
                <w:sz w:val="28"/>
                <w:szCs w:val="28"/>
              </w:rPr>
              <w:t>上市公司一般处于发展初期，经营历史较短，规模较小，经营稳定性相对较低，抵抗市场风险和行业风险的能力相对较弱。此外，创业板</w:t>
            </w:r>
            <w:r>
              <w:rPr>
                <w:rFonts w:hint="eastAsia" w:ascii="仿宋_GB2312" w:eastAsia="仿宋_GB2312"/>
                <w:kern w:val="0"/>
                <w:sz w:val="28"/>
                <w:szCs w:val="28"/>
              </w:rPr>
              <w:t>市场</w:t>
            </w:r>
            <w:r>
              <w:rPr>
                <w:rFonts w:hint="eastAsia" w:ascii="仿宋_GB2312" w:eastAsia="仿宋_GB2312"/>
                <w:sz w:val="28"/>
                <w:szCs w:val="28"/>
              </w:rPr>
              <w:t>上市公司发展潜力虽然可能巨大，但新技术的先进性与可靠性、新模式的适用面与成熟度、新行业的市场容量与成长空间等都具有较大不确定性，投资者对创业板市场上市公司高成长的预期并不一定会实现，风险较主板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03" w:type="dxa"/>
            <w:vAlign w:val="center"/>
          </w:tcPr>
          <w:p>
            <w:pPr>
              <w:widowControl/>
              <w:adjustRightInd w:val="0"/>
              <w:spacing w:line="336" w:lineRule="auto"/>
              <w:jc w:val="center"/>
              <w:rPr>
                <w:rFonts w:ascii="仿宋_GB2312" w:eastAsia="仿宋_GB2312"/>
                <w:kern w:val="0"/>
                <w:sz w:val="24"/>
              </w:rPr>
            </w:pPr>
            <w:r>
              <w:rPr>
                <w:rFonts w:hint="eastAsia" w:ascii="PMingLiU" w:eastAsia="PMingLiU"/>
              </w:rPr>
              <w:t>□</w:t>
            </w:r>
          </w:p>
        </w:tc>
        <w:tc>
          <w:tcPr>
            <w:tcW w:w="797" w:type="dxa"/>
            <w:vAlign w:val="center"/>
          </w:tcPr>
          <w:p>
            <w:pPr>
              <w:widowControl/>
              <w:adjustRightInd w:val="0"/>
              <w:spacing w:line="336" w:lineRule="auto"/>
              <w:jc w:val="center"/>
              <w:rPr>
                <w:rFonts w:ascii="仿宋_GB2312" w:eastAsia="仿宋_GB2312"/>
                <w:b/>
                <w:sz w:val="28"/>
              </w:rPr>
            </w:pPr>
            <w:r>
              <w:rPr>
                <w:rFonts w:hint="eastAsia" w:ascii="仿宋_GB2312" w:eastAsia="仿宋_GB2312"/>
                <w:b/>
                <w:sz w:val="28"/>
              </w:rPr>
              <w:t>股价大幅波动</w:t>
            </w:r>
          </w:p>
          <w:p>
            <w:pPr>
              <w:widowControl/>
              <w:adjustRightInd w:val="0"/>
              <w:spacing w:line="336" w:lineRule="auto"/>
              <w:jc w:val="center"/>
              <w:rPr>
                <w:rFonts w:ascii="仿宋_GB2312" w:eastAsia="仿宋_GB2312"/>
                <w:kern w:val="0"/>
                <w:sz w:val="24"/>
              </w:rPr>
            </w:pPr>
            <w:r>
              <w:rPr>
                <w:rFonts w:hint="eastAsia" w:ascii="仿宋_GB2312" w:eastAsia="仿宋_GB2312"/>
                <w:b/>
                <w:sz w:val="28"/>
              </w:rPr>
              <w:t>风险</w:t>
            </w:r>
          </w:p>
        </w:tc>
        <w:tc>
          <w:tcPr>
            <w:tcW w:w="7740" w:type="dxa"/>
          </w:tcPr>
          <w:p>
            <w:pPr>
              <w:spacing w:line="336" w:lineRule="auto"/>
              <w:ind w:left="3" w:hanging="2" w:hangingChars="1"/>
              <w:rPr>
                <w:rFonts w:ascii="仿宋_GB2312" w:eastAsia="仿宋_GB2312"/>
                <w:sz w:val="28"/>
                <w:szCs w:val="28"/>
              </w:rPr>
            </w:pPr>
            <w:r>
              <w:rPr>
                <w:rFonts w:hint="eastAsia" w:ascii="仿宋_GB2312" w:eastAsia="仿宋_GB2312"/>
                <w:sz w:val="28"/>
                <w:szCs w:val="28"/>
              </w:rPr>
              <w:t xml:space="preserve">     </w:t>
            </w:r>
            <w:r>
              <w:rPr>
                <w:rFonts w:hint="eastAsia" w:ascii="仿宋_GB2312" w:eastAsia="仿宋_GB2312"/>
                <w:b/>
                <w:sz w:val="28"/>
                <w:szCs w:val="28"/>
              </w:rPr>
              <w:t>以下原因可能导致创业板市场上市公司股价发生大幅波动：</w:t>
            </w:r>
          </w:p>
          <w:p>
            <w:pPr>
              <w:spacing w:line="336" w:lineRule="auto"/>
              <w:ind w:left="3" w:hanging="2" w:hangingChars="1"/>
              <w:rPr>
                <w:rFonts w:ascii="仿宋_GB2312" w:eastAsia="仿宋_GB2312"/>
                <w:sz w:val="28"/>
                <w:szCs w:val="28"/>
              </w:rPr>
            </w:pPr>
            <w:r>
              <w:rPr>
                <w:rFonts w:hint="eastAsia" w:ascii="仿宋_GB2312" w:eastAsia="仿宋_GB2312"/>
                <w:sz w:val="28"/>
                <w:szCs w:val="28"/>
              </w:rPr>
              <w:t xml:space="preserve">    （一）公司经营历史较短，规模较小，抵抗市场风险和行业风险的能力相对较弱，股价可能会由于公司业绩的变动而大幅波动；</w:t>
            </w:r>
          </w:p>
          <w:p>
            <w:pPr>
              <w:spacing w:line="336" w:lineRule="auto"/>
              <w:ind w:left="3" w:hanging="2" w:hangingChars="1"/>
              <w:rPr>
                <w:rFonts w:ascii="仿宋_GB2312" w:eastAsia="仿宋_GB2312"/>
                <w:sz w:val="28"/>
                <w:szCs w:val="28"/>
              </w:rPr>
            </w:pPr>
            <w:r>
              <w:rPr>
                <w:rFonts w:hint="eastAsia" w:ascii="仿宋_GB2312" w:eastAsia="仿宋_GB2312"/>
                <w:sz w:val="28"/>
                <w:szCs w:val="28"/>
              </w:rPr>
              <w:t xml:space="preserve">    （二）公司流通股本较少，盲目炒作会加大股价波动，也相对容易被操纵；</w:t>
            </w:r>
          </w:p>
          <w:p>
            <w:pPr>
              <w:spacing w:line="336" w:lineRule="auto"/>
              <w:ind w:left="3" w:hanging="2" w:hangingChars="1"/>
              <w:rPr>
                <w:rFonts w:ascii="仿宋_GB2312" w:eastAsia="仿宋_GB2312"/>
                <w:kern w:val="0"/>
                <w:sz w:val="28"/>
                <w:szCs w:val="28"/>
              </w:rPr>
            </w:pPr>
            <w:r>
              <w:rPr>
                <w:rFonts w:hint="eastAsia" w:ascii="仿宋_GB2312" w:eastAsia="仿宋_GB2312"/>
                <w:sz w:val="28"/>
                <w:szCs w:val="28"/>
              </w:rPr>
              <w:t xml:space="preserve">    （三）公司业绩可能不稳定，传统的估值判断方法可能不尽适用，投资者的价值判断可能存在较大差异。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03" w:type="dxa"/>
            <w:vAlign w:val="center"/>
          </w:tcPr>
          <w:p>
            <w:pPr>
              <w:widowControl/>
              <w:adjustRightInd w:val="0"/>
              <w:spacing w:line="336" w:lineRule="auto"/>
              <w:jc w:val="center"/>
              <w:rPr>
                <w:rFonts w:ascii="PMingLiU"/>
                <w:sz w:val="24"/>
              </w:rPr>
            </w:pPr>
            <w:r>
              <w:rPr>
                <w:rFonts w:hint="eastAsia" w:ascii="PMingLiU"/>
                <w:sz w:val="24"/>
              </w:rPr>
              <w:t>□</w:t>
            </w:r>
          </w:p>
        </w:tc>
        <w:tc>
          <w:tcPr>
            <w:tcW w:w="797" w:type="dxa"/>
            <w:vAlign w:val="center"/>
          </w:tcPr>
          <w:p>
            <w:pPr>
              <w:widowControl/>
              <w:adjustRightInd w:val="0"/>
              <w:spacing w:line="336" w:lineRule="auto"/>
              <w:jc w:val="center"/>
              <w:rPr>
                <w:rFonts w:ascii="仿宋_GB2312" w:eastAsia="仿宋_GB2312"/>
                <w:b/>
                <w:kern w:val="0"/>
                <w:sz w:val="28"/>
              </w:rPr>
            </w:pPr>
            <w:r>
              <w:rPr>
                <w:rFonts w:hint="eastAsia" w:ascii="仿宋_GB2312" w:eastAsia="仿宋_GB2312"/>
                <w:b/>
                <w:kern w:val="0"/>
                <w:sz w:val="28"/>
              </w:rPr>
              <w:t>技术</w:t>
            </w:r>
          </w:p>
          <w:p>
            <w:pPr>
              <w:widowControl/>
              <w:adjustRightInd w:val="0"/>
              <w:spacing w:line="336" w:lineRule="auto"/>
              <w:jc w:val="center"/>
              <w:rPr>
                <w:rFonts w:ascii="仿宋_GB2312" w:eastAsia="仿宋_GB2312"/>
                <w:b/>
                <w:kern w:val="0"/>
                <w:sz w:val="28"/>
              </w:rPr>
            </w:pPr>
            <w:r>
              <w:rPr>
                <w:rFonts w:hint="eastAsia" w:ascii="仿宋_GB2312" w:eastAsia="仿宋_GB2312"/>
                <w:b/>
                <w:kern w:val="0"/>
                <w:sz w:val="28"/>
              </w:rPr>
              <w:t>失败</w:t>
            </w:r>
          </w:p>
          <w:p>
            <w:pPr>
              <w:widowControl/>
              <w:adjustRightInd w:val="0"/>
              <w:spacing w:line="336" w:lineRule="auto"/>
              <w:jc w:val="center"/>
              <w:rPr>
                <w:rFonts w:ascii="仿宋_GB2312" w:eastAsia="仿宋_GB2312"/>
                <w:b/>
                <w:kern w:val="0"/>
                <w:sz w:val="28"/>
              </w:rPr>
            </w:pPr>
            <w:r>
              <w:rPr>
                <w:rFonts w:hint="eastAsia" w:ascii="仿宋_GB2312" w:eastAsia="仿宋_GB2312"/>
                <w:b/>
                <w:kern w:val="0"/>
                <w:sz w:val="28"/>
              </w:rPr>
              <w:t>风险</w:t>
            </w:r>
          </w:p>
        </w:tc>
        <w:tc>
          <w:tcPr>
            <w:tcW w:w="7740" w:type="dxa"/>
          </w:tcPr>
          <w:p>
            <w:pPr>
              <w:widowControl/>
              <w:adjustRightInd w:val="0"/>
              <w:spacing w:line="336" w:lineRule="auto"/>
              <w:jc w:val="left"/>
              <w:rPr>
                <w:rFonts w:ascii="仿宋_GB2312" w:eastAsia="仿宋_GB2312"/>
                <w:sz w:val="28"/>
                <w:szCs w:val="28"/>
              </w:rPr>
            </w:pPr>
            <w:r>
              <w:rPr>
                <w:rFonts w:hint="eastAsia" w:ascii="仿宋_GB2312" w:eastAsia="仿宋_GB2312"/>
                <w:kern w:val="0"/>
                <w:sz w:val="28"/>
                <w:szCs w:val="28"/>
              </w:rPr>
              <w:t xml:space="preserve">    创业板市场上市公司高科技转化为现实的产品或劳务具有不确定性,相关产品和技术更新换代较快，存在出现技术失败而造成损失的风险。</w:t>
            </w:r>
          </w:p>
        </w:tc>
      </w:tr>
    </w:tbl>
    <w:p>
      <w:pPr>
        <w:spacing w:line="360" w:lineRule="auto"/>
        <w:ind w:firstLine="600" w:firstLineChars="200"/>
        <w:rPr>
          <w:rFonts w:ascii="仿宋_GB2312" w:eastAsia="仿宋_GB2312"/>
          <w:sz w:val="30"/>
        </w:rPr>
      </w:pPr>
    </w:p>
    <w:p>
      <w:pPr>
        <w:spacing w:line="360" w:lineRule="auto"/>
        <w:ind w:firstLine="560" w:firstLineChars="200"/>
        <w:rPr>
          <w:rFonts w:ascii="仿宋_GB2312" w:eastAsia="仿宋_GB2312"/>
          <w:sz w:val="28"/>
          <w:szCs w:val="28"/>
        </w:rPr>
      </w:pPr>
      <w:r>
        <w:rPr>
          <w:rFonts w:hint="eastAsia" w:ascii="仿宋_GB2312" w:eastAsia="仿宋_GB2312"/>
          <w:sz w:val="28"/>
          <w:szCs w:val="28"/>
        </w:rPr>
        <w:t xml:space="preserve">上述风险揭示事项仅为列举性质，未能详尽列明创业板市场的所有风险因素，您在参与创业板市场投资前，还应认真阅读相关公司的招股说明书和上市公告书等，对其他可能存在的风险因素也应有所了解和掌握。我们诚挚地希望和建议您，从风险承担能力等自身实际情况出发，审慎参与创业板市场投资，合理配置金融资产。 </w:t>
      </w:r>
    </w:p>
    <w:p>
      <w:pPr>
        <w:widowControl/>
        <w:adjustRightInd w:val="0"/>
        <w:spacing w:line="360" w:lineRule="auto"/>
        <w:jc w:val="left"/>
        <w:rPr>
          <w:rFonts w:ascii="仿宋_GB2312" w:eastAsia="仿宋_GB2312"/>
          <w:sz w:val="28"/>
          <w:szCs w:val="28"/>
        </w:rPr>
      </w:pPr>
    </w:p>
    <w:p>
      <w:pPr>
        <w:widowControl/>
        <w:adjustRightInd w:val="0"/>
        <w:spacing w:line="360" w:lineRule="auto"/>
        <w:jc w:val="left"/>
        <w:rPr>
          <w:rFonts w:ascii="仿宋_GB2312" w:eastAsia="仿宋_GB2312"/>
          <w:sz w:val="28"/>
          <w:szCs w:val="28"/>
        </w:rPr>
      </w:pPr>
    </w:p>
    <w:p>
      <w:pPr>
        <w:widowControl/>
        <w:adjustRightInd w:val="0"/>
        <w:spacing w:line="360" w:lineRule="auto"/>
        <w:jc w:val="left"/>
        <w:rPr>
          <w:rFonts w:ascii="仿宋_GB2312" w:eastAsia="仿宋_GB2312"/>
          <w:kern w:val="0"/>
          <w:sz w:val="28"/>
          <w:szCs w:val="28"/>
        </w:rPr>
      </w:pPr>
      <w:r>
        <w:rPr>
          <w:rFonts w:ascii="仿宋_GB2312" w:eastAsia="仿宋_GB2312"/>
          <w:sz w:val="28"/>
          <w:szCs w:val="28"/>
        </w:rPr>
        <w:t xml:space="preserve">                   </w:t>
      </w:r>
      <w:r>
        <w:rPr>
          <w:rFonts w:hint="eastAsia" w:ascii="仿宋_GB2312" w:eastAsia="仿宋_GB2312"/>
          <w:sz w:val="28"/>
          <w:szCs w:val="28"/>
        </w:rPr>
        <w:t xml:space="preserve">      </w:t>
      </w:r>
      <w:r>
        <w:rPr>
          <w:rFonts w:ascii="仿宋_GB2312" w:eastAsia="仿宋_GB2312"/>
          <w:sz w:val="28"/>
          <w:szCs w:val="28"/>
        </w:rPr>
        <w:t xml:space="preserve">  ____</w:t>
      </w:r>
      <w:r>
        <w:rPr>
          <w:rFonts w:hint="eastAsia" w:ascii="仿宋_GB2312" w:eastAsia="仿宋_GB2312"/>
          <w:sz w:val="28"/>
          <w:szCs w:val="28"/>
        </w:rPr>
        <w:t>证券公司</w:t>
      </w:r>
      <w:r>
        <w:rPr>
          <w:rFonts w:ascii="仿宋_GB2312" w:eastAsia="仿宋_GB2312"/>
          <w:sz w:val="28"/>
          <w:szCs w:val="28"/>
        </w:rPr>
        <w:t>____</w:t>
      </w:r>
      <w:r>
        <w:rPr>
          <w:rFonts w:hint="eastAsia" w:ascii="仿宋_GB2312" w:eastAsia="仿宋_GB2312"/>
          <w:sz w:val="28"/>
          <w:szCs w:val="28"/>
        </w:rPr>
        <w:t>营业部（盖章）</w:t>
      </w:r>
    </w:p>
    <w:p>
      <w:pPr>
        <w:widowControl/>
        <w:adjustRightInd w:val="0"/>
        <w:spacing w:line="360" w:lineRule="auto"/>
        <w:ind w:firstLine="5157" w:firstLineChars="1842"/>
        <w:jc w:val="left"/>
        <w:rPr>
          <w:rFonts w:ascii="仿宋_GB2312" w:eastAsia="仿宋_GB2312"/>
          <w:kern w:val="0"/>
          <w:sz w:val="28"/>
          <w:szCs w:val="28"/>
        </w:rPr>
      </w:pPr>
    </w:p>
    <w:p>
      <w:pPr>
        <w:widowControl/>
        <w:adjustRightInd w:val="0"/>
        <w:spacing w:line="360" w:lineRule="auto"/>
        <w:ind w:firstLine="5157" w:firstLineChars="1842"/>
        <w:jc w:val="left"/>
        <w:rPr>
          <w:rFonts w:ascii="仿宋_GB2312" w:eastAsia="仿宋_GB2312"/>
          <w:kern w:val="0"/>
          <w:sz w:val="28"/>
          <w:szCs w:val="28"/>
        </w:rPr>
      </w:pPr>
      <w:r>
        <w:rPr>
          <w:rFonts w:ascii="仿宋_GB2312" w:eastAsia="仿宋_GB2312"/>
          <w:sz w:val="28"/>
          <w:szCs w:val="28"/>
        </w:rPr>
        <w:t>____</w:t>
      </w:r>
      <w:r>
        <w:rPr>
          <w:rFonts w:hint="eastAsia" w:ascii="仿宋_GB2312" w:eastAsia="仿宋_GB2312"/>
          <w:kern w:val="0"/>
          <w:sz w:val="28"/>
          <w:szCs w:val="28"/>
        </w:rPr>
        <w:t>年</w:t>
      </w:r>
      <w:r>
        <w:rPr>
          <w:rFonts w:ascii="仿宋_GB2312" w:eastAsia="仿宋_GB2312"/>
          <w:sz w:val="28"/>
          <w:szCs w:val="28"/>
        </w:rPr>
        <w:t>____</w:t>
      </w:r>
      <w:r>
        <w:rPr>
          <w:rFonts w:hint="eastAsia" w:ascii="仿宋_GB2312" w:eastAsia="仿宋_GB2312"/>
          <w:kern w:val="0"/>
          <w:sz w:val="28"/>
          <w:szCs w:val="28"/>
        </w:rPr>
        <w:t>月</w:t>
      </w:r>
      <w:r>
        <w:rPr>
          <w:rFonts w:ascii="仿宋_GB2312" w:eastAsia="仿宋_GB2312"/>
          <w:sz w:val="28"/>
          <w:szCs w:val="28"/>
        </w:rPr>
        <w:t>____</w:t>
      </w:r>
      <w:r>
        <w:rPr>
          <w:rFonts w:hint="eastAsia" w:ascii="仿宋_GB2312" w:eastAsia="仿宋_GB2312"/>
          <w:kern w:val="0"/>
          <w:sz w:val="28"/>
          <w:szCs w:val="28"/>
        </w:rPr>
        <w:t>日</w:t>
      </w:r>
    </w:p>
    <w:p>
      <w:pPr>
        <w:spacing w:line="360" w:lineRule="auto"/>
        <w:rPr>
          <w:rFonts w:ascii="仿宋_GB2312" w:eastAsia="仿宋_GB2312"/>
          <w:b/>
          <w:sz w:val="28"/>
          <w:szCs w:val="28"/>
        </w:rPr>
      </w:pPr>
      <w:r>
        <w:rPr>
          <w:rFonts w:hint="eastAsia" w:ascii="仿宋_GB2312" w:eastAsia="仿宋_GB2312"/>
          <w:b/>
          <w:sz w:val="28"/>
          <w:szCs w:val="28"/>
        </w:rPr>
        <w:t>声明：</w:t>
      </w:r>
    </w:p>
    <w:p>
      <w:pPr>
        <w:widowControl/>
        <w:adjustRightInd w:val="0"/>
        <w:spacing w:line="360" w:lineRule="auto"/>
        <w:jc w:val="left"/>
        <w:rPr>
          <w:rFonts w:ascii="仿宋_GB2312" w:eastAsia="仿宋_GB2312"/>
          <w:kern w:val="0"/>
          <w:sz w:val="28"/>
          <w:szCs w:val="28"/>
        </w:rPr>
      </w:pPr>
    </w:p>
    <w:p>
      <w:pPr>
        <w:widowControl/>
        <w:adjustRightInd w:val="0"/>
        <w:spacing w:line="360" w:lineRule="auto"/>
        <w:jc w:val="left"/>
        <w:rPr>
          <w:rFonts w:ascii="仿宋_GB2312" w:eastAsia="仿宋_GB2312"/>
          <w:b/>
          <w:kern w:val="0"/>
          <w:sz w:val="28"/>
          <w:szCs w:val="28"/>
        </w:rPr>
      </w:pPr>
      <w:r>
        <w:rPr>
          <w:rFonts w:hint="eastAsia" w:ascii="仿宋_GB2312" w:eastAsia="仿宋_GB2312"/>
          <w:b/>
          <w:kern w:val="0"/>
          <w:sz w:val="28"/>
          <w:szCs w:val="28"/>
        </w:rPr>
        <w:t>以下内容由具备两年以上（含两年）股票交易经验且</w:t>
      </w:r>
      <w:r>
        <w:rPr>
          <w:rFonts w:hint="eastAsia" w:ascii="仿宋_GB2312" w:eastAsia="仿宋_GB2312"/>
          <w:b/>
          <w:sz w:val="28"/>
          <w:szCs w:val="28"/>
        </w:rPr>
        <w:t>风险测评结果不属于风险承受能力低（保守型）</w:t>
      </w:r>
      <w:r>
        <w:rPr>
          <w:rFonts w:hint="eastAsia" w:ascii="仿宋_GB2312" w:eastAsia="仿宋_GB2312"/>
          <w:b/>
          <w:kern w:val="0"/>
          <w:sz w:val="28"/>
          <w:szCs w:val="28"/>
        </w:rPr>
        <w:t>的投资者抄写：</w:t>
      </w:r>
    </w:p>
    <w:p>
      <w:pPr>
        <w:spacing w:line="360" w:lineRule="auto"/>
        <w:ind w:firstLine="278" w:firstLineChars="99"/>
        <w:rPr>
          <w:rFonts w:ascii="仿宋_GB2312" w:eastAsia="仿宋_GB2312"/>
          <w:b/>
          <w:sz w:val="28"/>
          <w:szCs w:val="28"/>
        </w:rPr>
      </w:pPr>
      <w:r>
        <w:rPr>
          <w:rFonts w:hint="eastAsia" w:ascii="仿宋_GB2312" w:eastAsia="仿宋_GB2312"/>
          <w:b/>
          <w:sz w:val="28"/>
          <w:szCs w:val="28"/>
        </w:rPr>
        <w:t>【本人确认已阅读并理解创业板市场相关规则和上述风险揭示书的内容，具有相应的风险承受能力，自愿承担参与创业板投资的风险和损失。】</w:t>
      </w:r>
    </w:p>
    <w:p>
      <w:pPr>
        <w:spacing w:line="360" w:lineRule="auto"/>
        <w:ind w:firstLine="138" w:firstLineChars="49"/>
        <w:rPr>
          <w:rFonts w:ascii="仿宋_GB2312" w:eastAsia="仿宋_GB2312"/>
          <w:b/>
          <w:sz w:val="28"/>
          <w:szCs w:val="28"/>
        </w:rPr>
      </w:pPr>
    </w:p>
    <w:p>
      <w:pPr>
        <w:spacing w:line="360" w:lineRule="auto"/>
        <w:ind w:firstLine="138" w:firstLineChars="49"/>
        <w:rPr>
          <w:rFonts w:ascii="仿宋_GB2312" w:eastAsia="仿宋_GB2312"/>
          <w:b/>
          <w:sz w:val="28"/>
          <w:szCs w:val="28"/>
        </w:rPr>
      </w:pPr>
    </w:p>
    <w:p>
      <w:pPr>
        <w:spacing w:line="360" w:lineRule="auto"/>
        <w:rPr>
          <w:rFonts w:ascii="仿宋_GB2312" w:eastAsia="仿宋_GB2312"/>
          <w:b/>
          <w:sz w:val="28"/>
          <w:szCs w:val="28"/>
        </w:rPr>
      </w:pPr>
      <w:r>
        <w:rPr>
          <w:rFonts w:hint="eastAsia" w:ascii="仿宋_GB2312" w:eastAsia="仿宋_GB2312"/>
          <w:b/>
          <w:sz w:val="28"/>
          <w:szCs w:val="28"/>
        </w:rPr>
        <w:t xml:space="preserve"> </w:t>
      </w:r>
    </w:p>
    <w:p>
      <w:pPr>
        <w:rPr>
          <w:rFonts w:ascii="仿宋_GB2312" w:eastAsia="仿宋_GB2312"/>
          <w:sz w:val="28"/>
          <w:szCs w:val="28"/>
        </w:rPr>
      </w:pPr>
      <w:r>
        <w:rPr>
          <w:rFonts w:hint="eastAsia" w:ascii="仿宋_GB2312" w:eastAsia="仿宋_GB2312"/>
          <w:kern w:val="0"/>
          <w:sz w:val="28"/>
          <w:szCs w:val="28"/>
        </w:rPr>
        <w:t xml:space="preserve">××证券公司××营业部经办人（签字）：       </w:t>
      </w:r>
      <w:r>
        <w:rPr>
          <w:rFonts w:hint="eastAsia" w:ascii="仿宋_GB2312" w:eastAsia="仿宋_GB2312"/>
          <w:sz w:val="28"/>
          <w:szCs w:val="28"/>
        </w:rPr>
        <w:t>客户：</w:t>
      </w:r>
    </w:p>
    <w:p>
      <w:pPr>
        <w:rPr>
          <w:rFonts w:ascii="仿宋_GB2312" w:eastAsia="仿宋_GB2312"/>
          <w:sz w:val="28"/>
          <w:szCs w:val="28"/>
        </w:rPr>
      </w:pPr>
      <w:r>
        <w:rPr>
          <w:rFonts w:hint="eastAsia" w:ascii="仿宋_GB2312" w:eastAsia="仿宋_GB2312"/>
          <w:sz w:val="28"/>
          <w:szCs w:val="28"/>
        </w:rPr>
        <w:t xml:space="preserve">签署场所：                                     </w:t>
      </w:r>
    </w:p>
    <w:p>
      <w:pPr>
        <w:widowControl/>
        <w:adjustRightInd w:val="0"/>
        <w:spacing w:beforeLines="50" w:afterLines="50" w:line="360" w:lineRule="auto"/>
        <w:ind w:right="21" w:rightChars="10"/>
        <w:jc w:val="left"/>
        <w:rPr>
          <w:rFonts w:ascii="仿宋_GB2312" w:eastAsia="仿宋_GB2312"/>
          <w:kern w:val="0"/>
          <w:sz w:val="28"/>
          <w:szCs w:val="28"/>
        </w:rPr>
      </w:pPr>
      <w:r>
        <w:rPr>
          <w:rFonts w:hint="eastAsia" w:ascii="仿宋_GB2312" w:eastAsia="仿宋_GB2312"/>
          <w:kern w:val="0"/>
          <w:sz w:val="28"/>
          <w:szCs w:val="28"/>
        </w:rPr>
        <w:t>日期：  年   月  日                        日期：  年  月  日</w:t>
      </w:r>
    </w:p>
    <w:p>
      <w:pPr>
        <w:widowControl/>
        <w:adjustRightInd w:val="0"/>
        <w:spacing w:beforeLines="50" w:afterLines="50" w:line="360" w:lineRule="auto"/>
        <w:ind w:right="21" w:rightChars="10"/>
        <w:jc w:val="left"/>
        <w:rPr>
          <w:rFonts w:ascii="仿宋_GB2312" w:eastAsia="仿宋_GB2312"/>
          <w:kern w:val="0"/>
          <w:sz w:val="28"/>
          <w:szCs w:val="28"/>
        </w:rPr>
      </w:pPr>
      <w:r>
        <w:rPr>
          <w:rFonts w:hint="eastAsia" w:ascii="仿宋_GB2312" w:eastAsia="仿宋_GB2312"/>
          <w:b/>
          <w:sz w:val="28"/>
          <w:szCs w:val="28"/>
        </w:rPr>
        <w:t>特别提示：投资者在本风险揭示书上签字，即表明投资者已经理解并愿意自行承担参与创业板投资的风险和损失。</w:t>
      </w:r>
      <w:r>
        <w:rPr>
          <w:rFonts w:hint="eastAsia" w:ascii="仿宋_GB2312" w:eastAsia="仿宋_GB2312"/>
          <w:kern w:val="0"/>
          <w:sz w:val="28"/>
          <w:szCs w:val="28"/>
        </w:rPr>
        <w:t xml:space="preserve">                                 </w:t>
      </w:r>
    </w:p>
    <w:p>
      <w:pPr>
        <w:spacing w:line="360" w:lineRule="auto"/>
        <w:rPr>
          <w:rFonts w:ascii="仿宋_GB2312" w:eastAsia="仿宋_GB2312"/>
          <w:b/>
          <w:sz w:val="28"/>
          <w:szCs w:val="28"/>
        </w:rPr>
      </w:pPr>
      <w:r>
        <w:rPr>
          <w:rFonts w:hint="eastAsia" w:ascii="仿宋_GB2312" w:eastAsia="仿宋_GB2312"/>
          <w:b/>
          <w:sz w:val="28"/>
          <w:szCs w:val="28"/>
        </w:rPr>
        <w:t>特别声明：</w:t>
      </w:r>
    </w:p>
    <w:p>
      <w:pPr>
        <w:spacing w:line="360" w:lineRule="auto"/>
        <w:rPr>
          <w:rFonts w:ascii="仿宋_GB2312" w:eastAsia="仿宋_GB2312"/>
          <w:b/>
          <w:sz w:val="28"/>
          <w:szCs w:val="28"/>
        </w:rPr>
      </w:pPr>
    </w:p>
    <w:p>
      <w:pPr>
        <w:spacing w:line="360" w:lineRule="auto"/>
        <w:rPr>
          <w:rFonts w:ascii="仿宋_GB2312" w:eastAsia="仿宋_GB2312"/>
          <w:b/>
          <w:sz w:val="28"/>
          <w:szCs w:val="28"/>
        </w:rPr>
      </w:pPr>
      <w:r>
        <w:rPr>
          <w:rFonts w:hint="eastAsia" w:ascii="仿宋_GB2312" w:eastAsia="仿宋_GB2312"/>
          <w:b/>
          <w:sz w:val="28"/>
          <w:szCs w:val="28"/>
        </w:rPr>
        <w:t>以下内容由股票交易经验不足两年或交易经验满两年但风险测评结果为风险承受能力低（保守型）的投资者抄写：</w:t>
      </w:r>
    </w:p>
    <w:p>
      <w:pPr>
        <w:widowControl/>
        <w:jc w:val="left"/>
        <w:rPr>
          <w:rFonts w:ascii="仿宋_GB2312" w:eastAsia="仿宋_GB2312"/>
          <w:b/>
          <w:sz w:val="28"/>
          <w:szCs w:val="28"/>
        </w:rPr>
      </w:pPr>
      <w:r>
        <w:rPr>
          <w:rFonts w:hint="eastAsia" w:ascii="仿宋_GB2312" w:eastAsia="仿宋_GB2312"/>
          <w:b/>
          <w:sz w:val="28"/>
          <w:szCs w:val="28"/>
        </w:rPr>
        <w:t xml:space="preserve">    【本人尚未具备两年以上股票交易经验（或风险测评结果显示风险承受能力低），确认已阅读并理解创业板市场相关规则、投资风险及上述风险揭示书的内容，经过慎重考虑，坚持要求参与创业板市场投资，并愿意承担参与创业板市场投资可能产生的任何风险和损失。】</w:t>
      </w:r>
    </w:p>
    <w:p>
      <w:pPr>
        <w:spacing w:line="360" w:lineRule="auto"/>
        <w:rPr>
          <w:rFonts w:ascii="仿宋_GB2312" w:eastAsia="仿宋_GB2312" w:cs="Arial"/>
          <w:kern w:val="0"/>
          <w:sz w:val="28"/>
          <w:szCs w:val="28"/>
        </w:rPr>
      </w:pPr>
    </w:p>
    <w:p>
      <w:pPr>
        <w:rPr>
          <w:rFonts w:ascii="仿宋_GB2312" w:eastAsia="仿宋_GB2312"/>
          <w:sz w:val="28"/>
          <w:szCs w:val="28"/>
        </w:rPr>
      </w:pPr>
    </w:p>
    <w:p>
      <w:pPr>
        <w:rPr>
          <w:rFonts w:ascii="仿宋_GB2312" w:eastAsia="仿宋_GB2312"/>
          <w:sz w:val="28"/>
          <w:szCs w:val="28"/>
        </w:rPr>
      </w:pPr>
    </w:p>
    <w:p>
      <w:pPr>
        <w:rPr>
          <w:rFonts w:ascii="仿宋_GB2312" w:eastAsia="仿宋_GB2312"/>
          <w:sz w:val="28"/>
          <w:szCs w:val="28"/>
        </w:rPr>
      </w:pPr>
    </w:p>
    <w:p>
      <w:pPr>
        <w:rPr>
          <w:rFonts w:ascii="仿宋_GB2312" w:eastAsia="仿宋_GB2312"/>
          <w:kern w:val="0"/>
          <w:sz w:val="28"/>
          <w:szCs w:val="28"/>
        </w:rPr>
      </w:pPr>
      <w:r>
        <w:rPr>
          <w:rFonts w:hint="eastAsia" w:ascii="仿宋_GB2312" w:eastAsia="仿宋_GB2312"/>
          <w:kern w:val="0"/>
          <w:sz w:val="28"/>
          <w:szCs w:val="28"/>
        </w:rPr>
        <w:t xml:space="preserve">××证券公司××营业部经办人（签字）：       </w:t>
      </w:r>
      <w:r>
        <w:rPr>
          <w:rFonts w:hint="eastAsia" w:ascii="仿宋_GB2312" w:eastAsia="仿宋_GB2312"/>
          <w:sz w:val="28"/>
          <w:szCs w:val="28"/>
        </w:rPr>
        <w:t>客户：</w:t>
      </w:r>
    </w:p>
    <w:p>
      <w:pPr>
        <w:rPr>
          <w:rFonts w:ascii="仿宋_GB2312" w:eastAsia="仿宋_GB2312"/>
          <w:sz w:val="28"/>
          <w:szCs w:val="28"/>
        </w:rPr>
      </w:pPr>
      <w:r>
        <w:rPr>
          <w:rFonts w:hint="eastAsia" w:ascii="仿宋_GB2312" w:eastAsia="仿宋_GB2312"/>
          <w:kern w:val="0"/>
          <w:sz w:val="28"/>
          <w:szCs w:val="28"/>
        </w:rPr>
        <w:t xml:space="preserve"> </w:t>
      </w:r>
    </w:p>
    <w:p>
      <w:pPr>
        <w:rPr>
          <w:rFonts w:ascii="仿宋_GB2312" w:eastAsia="仿宋_GB2312"/>
          <w:kern w:val="0"/>
          <w:sz w:val="28"/>
          <w:szCs w:val="28"/>
        </w:rPr>
      </w:pPr>
      <w:r>
        <w:rPr>
          <w:rFonts w:hint="eastAsia" w:ascii="仿宋_GB2312" w:eastAsia="仿宋_GB2312"/>
          <w:kern w:val="0"/>
          <w:sz w:val="28"/>
          <w:szCs w:val="28"/>
        </w:rPr>
        <w:t>××证券公司××营业部负责人（签字）：       签署场所：</w:t>
      </w:r>
      <w:r>
        <w:rPr>
          <w:rFonts w:hint="eastAsia" w:ascii="仿宋_GB2312" w:eastAsia="仿宋_GB2312"/>
          <w:sz w:val="28"/>
          <w:szCs w:val="28"/>
        </w:rPr>
        <w:t xml:space="preserve">  </w:t>
      </w:r>
      <w:r>
        <w:rPr>
          <w:rFonts w:hint="eastAsia" w:ascii="仿宋_GB2312" w:eastAsia="仿宋_GB2312"/>
          <w:kern w:val="0"/>
          <w:sz w:val="28"/>
          <w:szCs w:val="28"/>
        </w:rPr>
        <w:t xml:space="preserve"> </w:t>
      </w:r>
    </w:p>
    <w:p>
      <w:pPr>
        <w:rPr>
          <w:rFonts w:ascii="仿宋_GB2312" w:eastAsia="仿宋_GB2312"/>
          <w:sz w:val="28"/>
          <w:szCs w:val="28"/>
        </w:rPr>
      </w:pPr>
      <w:r>
        <w:rPr>
          <w:rFonts w:hint="eastAsia" w:ascii="仿宋_GB2312" w:eastAsia="仿宋_GB2312"/>
          <w:kern w:val="0"/>
          <w:sz w:val="28"/>
          <w:szCs w:val="28"/>
        </w:rPr>
        <w:t>日期：   年   月  日                      日期：  年  月  日</w:t>
      </w:r>
    </w:p>
    <w:p>
      <w:pPr>
        <w:spacing w:line="360" w:lineRule="auto"/>
        <w:rPr>
          <w:rFonts w:ascii="仿宋_GB2312" w:eastAsia="仿宋_GB2312"/>
          <w:b/>
          <w:sz w:val="28"/>
          <w:szCs w:val="28"/>
        </w:rPr>
      </w:pPr>
    </w:p>
    <w:p>
      <w:pPr>
        <w:spacing w:line="360" w:lineRule="auto"/>
        <w:rPr>
          <w:rFonts w:ascii="仿宋_GB2312" w:eastAsia="仿宋_GB2312"/>
          <w:b/>
          <w:sz w:val="28"/>
          <w:szCs w:val="28"/>
        </w:rPr>
      </w:pPr>
      <w:r>
        <w:rPr>
          <w:rFonts w:hint="eastAsia" w:ascii="仿宋_GB2312" w:eastAsia="仿宋_GB2312"/>
          <w:b/>
          <w:sz w:val="28"/>
          <w:szCs w:val="28"/>
        </w:rPr>
        <w:t>特别提示：投资者在本风险揭示书上签字，即表明证券公司工作人员已对投资者进行了明确的风险揭示和劝导，并建议投资者不要参加创业板市场投资，投资者已经理解并愿意自行承担参与创业板投资的风险和损失。</w:t>
      </w:r>
    </w:p>
    <w:p>
      <w:pPr>
        <w:spacing w:line="360" w:lineRule="auto"/>
        <w:rPr>
          <w:rFonts w:ascii="仿宋_GB2312" w:eastAsia="仿宋_GB2312"/>
          <w:b/>
          <w:sz w:val="28"/>
          <w:szCs w:val="28"/>
        </w:rPr>
      </w:pPr>
    </w:p>
    <w:p>
      <w:pPr>
        <w:spacing w:line="360" w:lineRule="auto"/>
        <w:rPr>
          <w:rFonts w:ascii="仿宋_GB2312" w:eastAsia="仿宋_GB2312"/>
          <w:b/>
          <w:sz w:val="28"/>
          <w:szCs w:val="28"/>
        </w:rPr>
      </w:pPr>
      <w:r>
        <w:rPr>
          <w:rFonts w:hint="eastAsia" w:ascii="仿宋_GB2312" w:eastAsia="仿宋_GB2312"/>
          <w:b/>
          <w:sz w:val="28"/>
          <w:szCs w:val="28"/>
        </w:rPr>
        <w:t>说明：</w:t>
      </w:r>
    </w:p>
    <w:p>
      <w:pPr>
        <w:spacing w:line="360" w:lineRule="auto"/>
        <w:ind w:firstLine="560" w:firstLineChars="200"/>
        <w:rPr>
          <w:rFonts w:ascii="仿宋_GB2312" w:eastAsia="仿宋_GB2312"/>
          <w:sz w:val="28"/>
          <w:szCs w:val="28"/>
        </w:rPr>
      </w:pPr>
      <w:r>
        <w:rPr>
          <w:rFonts w:hint="eastAsia" w:ascii="仿宋_GB2312" w:eastAsia="仿宋_GB2312"/>
          <w:sz w:val="28"/>
          <w:szCs w:val="28"/>
        </w:rPr>
        <w:t>1、本风险揭示书列示的条款为必备条款，各证券公司在其制定的《创业板市场投资风险揭示书》标准文本中必须包括本风险揭示书列示的条款，证券公司可以根据实际需要在公司制定的风险揭示书中增加有关内容。</w:t>
      </w:r>
    </w:p>
    <w:p>
      <w:pPr>
        <w:spacing w:line="360" w:lineRule="auto"/>
        <w:ind w:firstLine="560" w:firstLineChars="200"/>
        <w:rPr>
          <w:rFonts w:ascii="仿宋_GB2312" w:eastAsia="仿宋_GB2312"/>
          <w:sz w:val="28"/>
          <w:szCs w:val="28"/>
        </w:rPr>
      </w:pPr>
      <w:r>
        <w:rPr>
          <w:rFonts w:hint="eastAsia" w:ascii="仿宋_GB2312" w:eastAsia="仿宋_GB2312"/>
          <w:sz w:val="28"/>
          <w:szCs w:val="28"/>
        </w:rPr>
        <w:t>2、各证券公司应与投资者在营业场所现场书面签署《创业板市场投资风险揭示书》。《创业板市场投资风险揭示书》一式两份，双方各执一份。</w:t>
      </w:r>
    </w:p>
    <w:p>
      <w:pPr>
        <w:pStyle w:val="23"/>
        <w:spacing w:line="360" w:lineRule="auto"/>
        <w:ind w:firstLine="560"/>
        <w:rPr>
          <w:rFonts w:ascii="仿宋_GB2312" w:hAnsi="宋体" w:eastAsia="仿宋_GB2312" w:cs="Arial"/>
          <w:sz w:val="28"/>
          <w:szCs w:val="28"/>
        </w:rPr>
      </w:pPr>
    </w:p>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Arial">
    <w:panose1 w:val="020B0604020202020204"/>
    <w:charset w:val="00"/>
    <w:family w:val="swiss"/>
    <w:pitch w:val="default"/>
    <w:sig w:usb0="E0002AFF" w:usb1="C0007843" w:usb2="00000009" w:usb3="00000000" w:csb0="400001FF" w:csb1="FFFF0000"/>
  </w:font>
  <w:font w:name="华文中宋">
    <w:panose1 w:val="02010600040101010101"/>
    <w:charset w:val="86"/>
    <w:family w:val="auto"/>
    <w:pitch w:val="default"/>
    <w:sig w:usb0="00000287" w:usb1="080F0000" w:usb2="00000000" w:usb3="00000000" w:csb0="0004009F" w:csb1="DFD70000"/>
  </w:font>
  <w:font w:name="_GB2312">
    <w:altName w:val="黑体"/>
    <w:panose1 w:val="00000000000000000000"/>
    <w:charset w:val="86"/>
    <w:family w:val="auto"/>
    <w:pitch w:val="default"/>
    <w:sig w:usb0="00000000" w:usb1="00000000" w:usb2="00000010" w:usb3="00000000" w:csb0="00040000" w:csb1="00000000"/>
  </w:font>
  <w:font w:name="ˎ̥">
    <w:altName w:val="Times New Roman"/>
    <w:panose1 w:val="00000000000000000000"/>
    <w:charset w:val="00"/>
    <w:family w:val="roman"/>
    <w:pitch w:val="default"/>
    <w:sig w:usb0="00000000" w:usb1="00000000" w:usb2="00000000" w:usb3="00000000" w:csb0="00000000" w:csb1="00000000"/>
  </w:font>
  <w:font w:name="PMingLiU">
    <w:panose1 w:val="02020500000000000000"/>
    <w:charset w:val="88"/>
    <w:family w:val="roman"/>
    <w:pitch w:val="default"/>
    <w:sig w:usb0="A00002FF" w:usb1="28CFFCFA" w:usb2="00000016" w:usb3="00000000" w:csb0="0010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7"/>
      </w:rPr>
    </w:pPr>
    <w:r>
      <w:fldChar w:fldCharType="begin"/>
    </w:r>
    <w:r>
      <w:rPr>
        <w:rStyle w:val="17"/>
      </w:rPr>
      <w:instrText xml:space="preserve">PAGE  </w:instrText>
    </w:r>
    <w:r>
      <w:fldChar w:fldCharType="separate"/>
    </w:r>
    <w:r>
      <w:rPr>
        <w:rStyle w:val="17"/>
      </w:rPr>
      <w:t>20</w:t>
    </w:r>
    <w:r>
      <w:fldChar w:fldCharType="end"/>
    </w:r>
  </w:p>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F7084"/>
    <w:rsid w:val="000C4597"/>
    <w:rsid w:val="001E5235"/>
    <w:rsid w:val="00243DAA"/>
    <w:rsid w:val="0040079D"/>
    <w:rsid w:val="004A2EC3"/>
    <w:rsid w:val="004E28C7"/>
    <w:rsid w:val="00500B0E"/>
    <w:rsid w:val="00506C16"/>
    <w:rsid w:val="00552585"/>
    <w:rsid w:val="005748CD"/>
    <w:rsid w:val="005A6F4D"/>
    <w:rsid w:val="005C3431"/>
    <w:rsid w:val="005F2CA1"/>
    <w:rsid w:val="005F7084"/>
    <w:rsid w:val="006635CB"/>
    <w:rsid w:val="00664059"/>
    <w:rsid w:val="006F170E"/>
    <w:rsid w:val="0070250D"/>
    <w:rsid w:val="00785DE0"/>
    <w:rsid w:val="00813282"/>
    <w:rsid w:val="00965388"/>
    <w:rsid w:val="00A20AC8"/>
    <w:rsid w:val="00AD687F"/>
    <w:rsid w:val="00BD5BD6"/>
    <w:rsid w:val="00CD3136"/>
    <w:rsid w:val="00CD7415"/>
    <w:rsid w:val="00D1352A"/>
    <w:rsid w:val="00D17BF8"/>
    <w:rsid w:val="00D43C30"/>
    <w:rsid w:val="00D92FB8"/>
    <w:rsid w:val="00E92287"/>
    <w:rsid w:val="00ED10C2"/>
    <w:rsid w:val="00F55F0D"/>
    <w:rsid w:val="00FD256F"/>
    <w:rsid w:val="685624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unhideWhenUsed="0" w:uiPriority="0" w:semiHidden="0"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nhideWhenUsed="0" w:uiPriority="0" w:semiHidden="0"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3"/>
    <w:qFormat/>
    <w:uiPriority w:val="9"/>
    <w:pPr>
      <w:keepNext/>
      <w:keepLines/>
      <w:spacing w:before="340" w:after="330" w:line="578" w:lineRule="auto"/>
      <w:outlineLvl w:val="0"/>
    </w:pPr>
    <w:rPr>
      <w:rFonts w:ascii="宋体" w:hAnsi="宋体" w:eastAsia="宋体" w:cs="Times New Roman"/>
      <w:b/>
      <w:bCs/>
      <w:kern w:val="44"/>
      <w:sz w:val="44"/>
      <w:szCs w:val="44"/>
    </w:rPr>
  </w:style>
  <w:style w:type="character" w:default="1" w:styleId="9">
    <w:name w:val="Default Paragraph Font"/>
    <w:unhideWhenUsed/>
    <w:uiPriority w:val="1"/>
  </w:style>
  <w:style w:type="table" w:default="1" w:styleId="12">
    <w:name w:val="Normal Table"/>
    <w:unhideWhenUsed/>
    <w:qFormat/>
    <w:uiPriority w:val="99"/>
    <w:tblPr>
      <w:tblLayout w:type="fixed"/>
      <w:tblCellMar>
        <w:top w:w="0" w:type="dxa"/>
        <w:left w:w="108" w:type="dxa"/>
        <w:bottom w:w="0" w:type="dxa"/>
        <w:right w:w="108" w:type="dxa"/>
      </w:tblCellMar>
    </w:tblPr>
  </w:style>
  <w:style w:type="paragraph" w:styleId="3">
    <w:name w:val="annotation text"/>
    <w:basedOn w:val="1"/>
    <w:link w:val="21"/>
    <w:unhideWhenUsed/>
    <w:uiPriority w:val="99"/>
    <w:pPr>
      <w:jc w:val="left"/>
    </w:pPr>
    <w:rPr>
      <w:rFonts w:ascii="宋体" w:hAnsi="宋体" w:eastAsia="宋体" w:cs="Times New Roman"/>
      <w:szCs w:val="21"/>
    </w:rPr>
  </w:style>
  <w:style w:type="paragraph" w:styleId="4">
    <w:name w:val="Balloon Text"/>
    <w:basedOn w:val="1"/>
    <w:link w:val="24"/>
    <w:unhideWhenUsed/>
    <w:uiPriority w:val="99"/>
    <w:rPr>
      <w:sz w:val="18"/>
      <w:szCs w:val="18"/>
    </w:rPr>
  </w:style>
  <w:style w:type="paragraph" w:styleId="5">
    <w:name w:val="footer"/>
    <w:basedOn w:val="1"/>
    <w:link w:val="20"/>
    <w:uiPriority w:val="0"/>
    <w:pPr>
      <w:tabs>
        <w:tab w:val="center" w:pos="4153"/>
        <w:tab w:val="right" w:pos="8306"/>
      </w:tabs>
      <w:snapToGrid w:val="0"/>
      <w:jc w:val="left"/>
    </w:pPr>
    <w:rPr>
      <w:rFonts w:ascii="宋体" w:hAnsi="宋体" w:cs="宋体"/>
      <w:sz w:val="18"/>
      <w:szCs w:val="18"/>
    </w:rPr>
  </w:style>
  <w:style w:type="paragraph" w:styleId="6">
    <w:name w:val="header"/>
    <w:basedOn w:val="1"/>
    <w:link w:val="19"/>
    <w:uiPriority w:val="0"/>
    <w:pPr>
      <w:pBdr>
        <w:bottom w:val="single" w:color="auto" w:sz="6" w:space="1"/>
      </w:pBdr>
      <w:tabs>
        <w:tab w:val="center" w:pos="4153"/>
        <w:tab w:val="right" w:pos="8306"/>
      </w:tabs>
      <w:snapToGrid w:val="0"/>
      <w:jc w:val="center"/>
    </w:pPr>
    <w:rPr>
      <w:rFonts w:ascii="宋体" w:hAnsi="宋体" w:cs="宋体"/>
      <w:sz w:val="18"/>
      <w:szCs w:val="18"/>
    </w:rPr>
  </w:style>
  <w:style w:type="paragraph" w:styleId="7">
    <w:name w:val="toc 1"/>
    <w:basedOn w:val="1"/>
    <w:next w:val="1"/>
    <w:unhideWhenUsed/>
    <w:uiPriority w:val="39"/>
    <w:pPr>
      <w:tabs>
        <w:tab w:val="right" w:leader="dot" w:pos="8296"/>
      </w:tabs>
      <w:jc w:val="left"/>
    </w:pPr>
    <w:rPr>
      <w:rFonts w:ascii="华文中宋" w:hAnsi="华文中宋" w:eastAsia="华文中宋" w:cs="宋体"/>
      <w:b/>
      <w:kern w:val="0"/>
      <w:sz w:val="36"/>
      <w:szCs w:val="36"/>
    </w:rPr>
  </w:style>
  <w:style w:type="paragraph" w:styleId="8">
    <w:name w:val="Body Text Indent 3"/>
    <w:basedOn w:val="1"/>
    <w:link w:val="22"/>
    <w:uiPriority w:val="0"/>
    <w:pPr>
      <w:spacing w:line="336" w:lineRule="auto"/>
      <w:ind w:firstLine="560" w:firstLineChars="200"/>
    </w:pPr>
    <w:rPr>
      <w:rFonts w:ascii="仿宋_GB2312" w:hAnsi="宋体" w:eastAsia="仿宋_GB2312" w:cs="Arial"/>
      <w:kern w:val="0"/>
      <w:sz w:val="28"/>
      <w:szCs w:val="28"/>
    </w:rPr>
  </w:style>
  <w:style w:type="character" w:styleId="10">
    <w:name w:val="Hyperlink"/>
    <w:unhideWhenUsed/>
    <w:uiPriority w:val="99"/>
    <w:rPr>
      <w:color w:val="0000FF"/>
      <w:u w:val="single"/>
    </w:rPr>
  </w:style>
  <w:style w:type="character" w:styleId="11">
    <w:name w:val="annotation reference"/>
    <w:unhideWhenUsed/>
    <w:uiPriority w:val="99"/>
    <w:rPr>
      <w:sz w:val="21"/>
      <w:szCs w:val="21"/>
    </w:rPr>
  </w:style>
  <w:style w:type="character" w:customStyle="1" w:styleId="13">
    <w:name w:val="标题 1 Char"/>
    <w:basedOn w:val="9"/>
    <w:link w:val="2"/>
    <w:uiPriority w:val="9"/>
    <w:rPr>
      <w:rFonts w:ascii="宋体" w:hAnsi="宋体" w:eastAsia="宋体" w:cs="Times New Roman"/>
      <w:b/>
      <w:bCs/>
      <w:kern w:val="44"/>
      <w:sz w:val="44"/>
      <w:szCs w:val="44"/>
    </w:rPr>
  </w:style>
  <w:style w:type="character" w:customStyle="1" w:styleId="14">
    <w:name w:val="页眉 Char"/>
    <w:link w:val="6"/>
    <w:uiPriority w:val="0"/>
    <w:rPr>
      <w:rFonts w:ascii="宋体" w:hAnsi="宋体" w:cs="宋体"/>
      <w:sz w:val="18"/>
      <w:szCs w:val="18"/>
    </w:rPr>
  </w:style>
  <w:style w:type="character" w:customStyle="1" w:styleId="15">
    <w:name w:val="正文文本缩进 3 Char"/>
    <w:link w:val="16"/>
    <w:qFormat/>
    <w:uiPriority w:val="0"/>
    <w:rPr>
      <w:rFonts w:ascii="仿宋_GB2312" w:hAnsi="宋体" w:eastAsia="仿宋_GB2312" w:cs="仿宋_GB2312"/>
      <w:kern w:val="0"/>
      <w:sz w:val="28"/>
      <w:szCs w:val="28"/>
    </w:rPr>
  </w:style>
  <w:style w:type="paragraph" w:customStyle="1" w:styleId="16">
    <w:name w:val="正文文本缩进 31"/>
    <w:basedOn w:val="1"/>
    <w:link w:val="15"/>
    <w:uiPriority w:val="0"/>
    <w:pPr>
      <w:spacing w:line="336" w:lineRule="auto"/>
      <w:ind w:firstLine="560" w:firstLineChars="200"/>
    </w:pPr>
    <w:rPr>
      <w:rFonts w:ascii="仿宋_GB2312" w:hAnsi="宋体" w:eastAsia="仿宋_GB2312" w:cs="仿宋_GB2312"/>
      <w:kern w:val="0"/>
      <w:sz w:val="28"/>
      <w:szCs w:val="28"/>
    </w:rPr>
  </w:style>
  <w:style w:type="character" w:customStyle="1" w:styleId="17">
    <w:name w:val="页码1"/>
    <w:basedOn w:val="9"/>
    <w:qFormat/>
    <w:uiPriority w:val="0"/>
  </w:style>
  <w:style w:type="character" w:customStyle="1" w:styleId="18">
    <w:name w:val="页脚 Char"/>
    <w:link w:val="5"/>
    <w:uiPriority w:val="0"/>
    <w:rPr>
      <w:rFonts w:ascii="宋体" w:hAnsi="宋体" w:cs="宋体"/>
      <w:sz w:val="18"/>
      <w:szCs w:val="18"/>
    </w:rPr>
  </w:style>
  <w:style w:type="character" w:customStyle="1" w:styleId="19">
    <w:name w:val="页眉 Char1"/>
    <w:basedOn w:val="9"/>
    <w:link w:val="6"/>
    <w:semiHidden/>
    <w:uiPriority w:val="99"/>
    <w:rPr>
      <w:sz w:val="18"/>
      <w:szCs w:val="18"/>
    </w:rPr>
  </w:style>
  <w:style w:type="character" w:customStyle="1" w:styleId="20">
    <w:name w:val="页脚 Char1"/>
    <w:basedOn w:val="9"/>
    <w:link w:val="5"/>
    <w:semiHidden/>
    <w:uiPriority w:val="99"/>
    <w:rPr>
      <w:sz w:val="18"/>
      <w:szCs w:val="18"/>
    </w:rPr>
  </w:style>
  <w:style w:type="character" w:customStyle="1" w:styleId="21">
    <w:name w:val="批注文字 Char"/>
    <w:basedOn w:val="9"/>
    <w:link w:val="3"/>
    <w:uiPriority w:val="99"/>
    <w:rPr>
      <w:rFonts w:ascii="宋体" w:hAnsi="宋体" w:eastAsia="宋体" w:cs="Times New Roman"/>
      <w:szCs w:val="21"/>
    </w:rPr>
  </w:style>
  <w:style w:type="character" w:customStyle="1" w:styleId="22">
    <w:name w:val="正文文本缩进 3 Char1"/>
    <w:basedOn w:val="9"/>
    <w:link w:val="8"/>
    <w:uiPriority w:val="0"/>
    <w:rPr>
      <w:rFonts w:ascii="仿宋_GB2312" w:hAnsi="宋体" w:eastAsia="仿宋_GB2312" w:cs="Arial"/>
      <w:kern w:val="0"/>
      <w:sz w:val="28"/>
      <w:szCs w:val="28"/>
    </w:rPr>
  </w:style>
  <w:style w:type="paragraph" w:customStyle="1" w:styleId="23">
    <w:name w:val="列出段落2"/>
    <w:uiPriority w:val="0"/>
    <w:pPr>
      <w:ind w:firstLine="420" w:firstLineChars="200"/>
    </w:pPr>
    <w:rPr>
      <w:rFonts w:ascii="Times New Roman" w:hAnsi="Times New Roman" w:eastAsia="宋体" w:cs="Times New Roman"/>
      <w:kern w:val="0"/>
      <w:sz w:val="20"/>
      <w:szCs w:val="20"/>
      <w:lang w:val="en-US" w:eastAsia="zh-CN" w:bidi="ar-SA"/>
    </w:rPr>
  </w:style>
  <w:style w:type="character" w:customStyle="1" w:styleId="24">
    <w:name w:val="批注框文本 Char"/>
    <w:basedOn w:val="9"/>
    <w:link w:val="4"/>
    <w:semiHidden/>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22</Pages>
  <Words>1534</Words>
  <Characters>8747</Characters>
  <Lines>72</Lines>
  <Paragraphs>20</Paragraphs>
  <TotalTime>0</TotalTime>
  <ScaleCrop>false</ScaleCrop>
  <LinksUpToDate>false</LinksUpToDate>
  <CharactersWithSpaces>10261</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2013-08-14T03:01:00Z</dcterms:created>
  <dc:creator>王伊欢</dc:creator>
  <cp:lastModifiedBy>ヾ左岸の烟づ</cp:lastModifiedBy>
  <cp:lastPrinted>2014-01-13T07:09:00Z</cp:lastPrinted>
  <dcterms:modified xsi:type="dcterms:W3CDTF">2018-01-04T06:08:52Z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